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bookmarkStart w:id="0" w:name="_GoBack"/>
      <w:bookmarkEnd w:id="0"/>
    </w:p>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2A0721">
        <w:rPr>
          <w:rFonts w:ascii="Arial" w:eastAsia="Calibri" w:hAnsi="Arial" w:cs="Arial"/>
          <w:b/>
          <w:sz w:val="24"/>
          <w:szCs w:val="24"/>
        </w:rPr>
        <w:t xml:space="preserve"> 6006</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Category(ies):</w:t>
      </w:r>
      <w:r w:rsidR="004738BF">
        <w:rPr>
          <w:rFonts w:ascii="Arial" w:eastAsia="Calibri" w:hAnsi="Arial" w:cs="Arial"/>
          <w:b/>
          <w:sz w:val="24"/>
          <w:szCs w:val="24"/>
        </w:rPr>
        <w:t xml:space="preserve"> </w:t>
      </w:r>
      <w:r w:rsidR="002A0721">
        <w:rPr>
          <w:rFonts w:ascii="Arial" w:eastAsia="Calibri" w:hAnsi="Arial" w:cs="Arial"/>
          <w:b/>
          <w:sz w:val="24"/>
          <w:szCs w:val="24"/>
        </w:rPr>
        <w:t>Clinical - Drugs</w:t>
      </w:r>
    </w:p>
    <w:p w:rsidR="00D87C3B" w:rsidRPr="002A0721"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2A0721" w:rsidRPr="002A0721">
        <w:rPr>
          <w:rFonts w:ascii="Arial" w:eastAsia="Calibri" w:hAnsi="Arial" w:cs="Arial"/>
          <w:b/>
          <w:sz w:val="24"/>
          <w:szCs w:val="24"/>
        </w:rPr>
        <w:t>Biologic and Biosimilar Products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2A0721">
        <w:rPr>
          <w:rFonts w:ascii="Arial" w:eastAsia="Calibri" w:hAnsi="Arial" w:cs="Arial"/>
          <w:b/>
          <w:sz w:val="24"/>
          <w:szCs w:val="24"/>
        </w:rPr>
        <w:t>06/09/2021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2A0721" w:rsidRDefault="002A0721" w:rsidP="002A0721">
            <w:r>
              <w:rPr>
                <w:sz w:val="24"/>
                <w:szCs w:val="24"/>
                <w:lang w:eastAsia="en-GB"/>
              </w:rPr>
              <w:t xml:space="preserve">Q1. Could you please provide the numbers of patients treated by the </w:t>
            </w:r>
            <w:r>
              <w:rPr>
                <w:b/>
                <w:bCs/>
                <w:sz w:val="24"/>
                <w:szCs w:val="24"/>
                <w:lang w:eastAsia="en-GB"/>
              </w:rPr>
              <w:t>rheumatology</w:t>
            </w:r>
            <w:r>
              <w:rPr>
                <w:sz w:val="24"/>
                <w:szCs w:val="24"/>
                <w:lang w:eastAsia="en-GB"/>
              </w:rPr>
              <w:t xml:space="preserve"> department (for any condition) in the last 3 months with the following drugs:</w:t>
            </w:r>
          </w:p>
          <w:p w:rsidR="002A0721" w:rsidRDefault="002A0721" w:rsidP="002A0721">
            <w:pPr>
              <w:pStyle w:val="ListParagraph"/>
              <w:numPr>
                <w:ilvl w:val="0"/>
                <w:numId w:val="13"/>
              </w:numPr>
              <w:spacing w:line="254" w:lineRule="auto"/>
            </w:pPr>
            <w:r>
              <w:rPr>
                <w:sz w:val="24"/>
                <w:szCs w:val="24"/>
                <w:lang w:eastAsia="en-GB"/>
              </w:rPr>
              <w:t>Abatacept [Orencia]</w:t>
            </w:r>
          </w:p>
          <w:p w:rsidR="002A0721" w:rsidRDefault="002A0721" w:rsidP="002A0721">
            <w:pPr>
              <w:pStyle w:val="ListParagraph"/>
              <w:numPr>
                <w:ilvl w:val="0"/>
                <w:numId w:val="13"/>
              </w:numPr>
              <w:spacing w:line="254" w:lineRule="auto"/>
            </w:pPr>
            <w:r>
              <w:rPr>
                <w:sz w:val="24"/>
                <w:szCs w:val="24"/>
                <w:lang w:eastAsia="en-GB"/>
              </w:rPr>
              <w:t>Adalimumab [Humira]</w:t>
            </w:r>
          </w:p>
          <w:p w:rsidR="002A0721" w:rsidRDefault="002A0721" w:rsidP="002A0721">
            <w:pPr>
              <w:pStyle w:val="ListParagraph"/>
              <w:numPr>
                <w:ilvl w:val="0"/>
                <w:numId w:val="13"/>
              </w:numPr>
              <w:spacing w:line="254" w:lineRule="auto"/>
            </w:pPr>
            <w:r>
              <w:rPr>
                <w:sz w:val="24"/>
                <w:szCs w:val="24"/>
                <w:lang w:eastAsia="en-GB"/>
              </w:rPr>
              <w:t>Adalimumab Biosimilars</w:t>
            </w:r>
          </w:p>
          <w:p w:rsidR="002A0721" w:rsidRDefault="002A0721" w:rsidP="002A0721">
            <w:pPr>
              <w:pStyle w:val="ListParagraph"/>
              <w:numPr>
                <w:ilvl w:val="0"/>
                <w:numId w:val="13"/>
              </w:numPr>
              <w:spacing w:line="254" w:lineRule="auto"/>
            </w:pPr>
            <w:r>
              <w:rPr>
                <w:sz w:val="24"/>
                <w:szCs w:val="24"/>
                <w:lang w:eastAsia="en-GB"/>
              </w:rPr>
              <w:t>Apremilast [Otezla]</w:t>
            </w:r>
          </w:p>
          <w:p w:rsidR="002A0721" w:rsidRDefault="002A0721" w:rsidP="002A0721">
            <w:pPr>
              <w:pStyle w:val="ListParagraph"/>
              <w:numPr>
                <w:ilvl w:val="0"/>
                <w:numId w:val="13"/>
              </w:numPr>
              <w:spacing w:line="254" w:lineRule="auto"/>
            </w:pPr>
            <w:r>
              <w:rPr>
                <w:sz w:val="24"/>
                <w:szCs w:val="24"/>
                <w:lang w:eastAsia="en-GB"/>
              </w:rPr>
              <w:t>Baricitinib [Olumiant]</w:t>
            </w:r>
          </w:p>
          <w:p w:rsidR="002A0721" w:rsidRDefault="002A0721" w:rsidP="002A0721">
            <w:pPr>
              <w:pStyle w:val="ListParagraph"/>
              <w:numPr>
                <w:ilvl w:val="0"/>
                <w:numId w:val="13"/>
              </w:numPr>
              <w:spacing w:line="254" w:lineRule="auto"/>
            </w:pPr>
            <w:r>
              <w:rPr>
                <w:sz w:val="24"/>
                <w:szCs w:val="24"/>
                <w:lang w:eastAsia="en-GB"/>
              </w:rPr>
              <w:t>Certolizumab [Cimzia]</w:t>
            </w:r>
          </w:p>
          <w:p w:rsidR="002A0721" w:rsidRDefault="002A0721" w:rsidP="002A0721">
            <w:pPr>
              <w:pStyle w:val="ListParagraph"/>
              <w:numPr>
                <w:ilvl w:val="0"/>
                <w:numId w:val="13"/>
              </w:numPr>
              <w:spacing w:line="254" w:lineRule="auto"/>
            </w:pPr>
            <w:r>
              <w:rPr>
                <w:sz w:val="24"/>
                <w:szCs w:val="24"/>
                <w:lang w:eastAsia="en-GB"/>
              </w:rPr>
              <w:t>Etanercept [Enbrel]</w:t>
            </w:r>
          </w:p>
          <w:p w:rsidR="002A0721" w:rsidRDefault="002A0721" w:rsidP="002A0721">
            <w:pPr>
              <w:pStyle w:val="ListParagraph"/>
              <w:numPr>
                <w:ilvl w:val="0"/>
                <w:numId w:val="13"/>
              </w:numPr>
              <w:spacing w:line="254" w:lineRule="auto"/>
            </w:pPr>
            <w:r>
              <w:rPr>
                <w:sz w:val="24"/>
                <w:szCs w:val="24"/>
                <w:lang w:eastAsia="en-GB"/>
              </w:rPr>
              <w:t>Etanercept Biosimilars</w:t>
            </w:r>
          </w:p>
          <w:p w:rsidR="002A0721" w:rsidRDefault="002A0721" w:rsidP="002A0721">
            <w:pPr>
              <w:pStyle w:val="ListParagraph"/>
              <w:numPr>
                <w:ilvl w:val="0"/>
                <w:numId w:val="13"/>
              </w:numPr>
              <w:spacing w:line="254" w:lineRule="auto"/>
            </w:pPr>
            <w:r>
              <w:t xml:space="preserve">Filgotinib [Jyseleca] </w:t>
            </w:r>
          </w:p>
          <w:p w:rsidR="002A0721" w:rsidRDefault="002A0721" w:rsidP="002A0721">
            <w:pPr>
              <w:pStyle w:val="ListParagraph"/>
              <w:numPr>
                <w:ilvl w:val="0"/>
                <w:numId w:val="13"/>
              </w:numPr>
              <w:spacing w:line="254" w:lineRule="auto"/>
            </w:pPr>
            <w:r>
              <w:rPr>
                <w:sz w:val="24"/>
                <w:szCs w:val="24"/>
                <w:lang w:eastAsia="en-GB"/>
              </w:rPr>
              <w:t>Golimumab [Simponi]</w:t>
            </w:r>
          </w:p>
          <w:p w:rsidR="002A0721" w:rsidRDefault="002A0721" w:rsidP="002A0721">
            <w:pPr>
              <w:pStyle w:val="ListParagraph"/>
              <w:numPr>
                <w:ilvl w:val="0"/>
                <w:numId w:val="13"/>
              </w:numPr>
              <w:spacing w:line="254" w:lineRule="auto"/>
            </w:pPr>
            <w:r>
              <w:rPr>
                <w:sz w:val="24"/>
                <w:szCs w:val="24"/>
                <w:lang w:eastAsia="en-GB"/>
              </w:rPr>
              <w:t>Guselkumab [Tremfya]</w:t>
            </w:r>
          </w:p>
          <w:p w:rsidR="002A0721" w:rsidRDefault="002A0721" w:rsidP="002A0721">
            <w:pPr>
              <w:pStyle w:val="ListParagraph"/>
              <w:numPr>
                <w:ilvl w:val="0"/>
                <w:numId w:val="13"/>
              </w:numPr>
              <w:spacing w:line="254" w:lineRule="auto"/>
            </w:pPr>
            <w:r>
              <w:rPr>
                <w:sz w:val="24"/>
                <w:szCs w:val="24"/>
                <w:lang w:eastAsia="en-GB"/>
              </w:rPr>
              <w:t>Infliximab [Remicade]</w:t>
            </w:r>
          </w:p>
          <w:p w:rsidR="002A0721" w:rsidRDefault="002A0721" w:rsidP="002A0721">
            <w:pPr>
              <w:pStyle w:val="ListParagraph"/>
              <w:numPr>
                <w:ilvl w:val="0"/>
                <w:numId w:val="13"/>
              </w:numPr>
              <w:spacing w:line="254" w:lineRule="auto"/>
            </w:pPr>
            <w:r>
              <w:rPr>
                <w:sz w:val="24"/>
                <w:szCs w:val="24"/>
                <w:lang w:eastAsia="en-GB"/>
              </w:rPr>
              <w:t>Infliximab Biosimilars</w:t>
            </w:r>
          </w:p>
          <w:p w:rsidR="002A0721" w:rsidRDefault="002A0721" w:rsidP="002A0721">
            <w:pPr>
              <w:pStyle w:val="ListParagraph"/>
              <w:numPr>
                <w:ilvl w:val="0"/>
                <w:numId w:val="13"/>
              </w:numPr>
              <w:spacing w:line="254" w:lineRule="auto"/>
            </w:pPr>
            <w:r>
              <w:rPr>
                <w:sz w:val="24"/>
                <w:szCs w:val="24"/>
                <w:lang w:eastAsia="en-GB"/>
              </w:rPr>
              <w:t>Ixekizumab [Taltz]</w:t>
            </w:r>
          </w:p>
          <w:p w:rsidR="002A0721" w:rsidRDefault="002A0721" w:rsidP="002A0721">
            <w:pPr>
              <w:pStyle w:val="ListParagraph"/>
              <w:numPr>
                <w:ilvl w:val="0"/>
                <w:numId w:val="13"/>
              </w:numPr>
              <w:spacing w:line="254" w:lineRule="auto"/>
            </w:pPr>
            <w:r>
              <w:rPr>
                <w:sz w:val="24"/>
                <w:szCs w:val="24"/>
                <w:lang w:eastAsia="en-GB"/>
              </w:rPr>
              <w:t>Risankizumab [Skyrizi]</w:t>
            </w:r>
          </w:p>
          <w:p w:rsidR="002A0721" w:rsidRDefault="002A0721" w:rsidP="002A0721">
            <w:pPr>
              <w:pStyle w:val="ListParagraph"/>
              <w:numPr>
                <w:ilvl w:val="0"/>
                <w:numId w:val="13"/>
              </w:numPr>
              <w:spacing w:line="254" w:lineRule="auto"/>
            </w:pPr>
            <w:r>
              <w:rPr>
                <w:sz w:val="24"/>
                <w:szCs w:val="24"/>
                <w:lang w:eastAsia="en-GB"/>
              </w:rPr>
              <w:t>Rituximab [MabThera]</w:t>
            </w:r>
          </w:p>
          <w:p w:rsidR="002A0721" w:rsidRDefault="002A0721" w:rsidP="002A0721">
            <w:pPr>
              <w:pStyle w:val="ListParagraph"/>
              <w:numPr>
                <w:ilvl w:val="0"/>
                <w:numId w:val="13"/>
              </w:numPr>
              <w:spacing w:line="254" w:lineRule="auto"/>
            </w:pPr>
            <w:r>
              <w:rPr>
                <w:sz w:val="24"/>
                <w:szCs w:val="24"/>
                <w:lang w:eastAsia="en-GB"/>
              </w:rPr>
              <w:t>Rituximab Biosimilars</w:t>
            </w:r>
          </w:p>
          <w:p w:rsidR="002A0721" w:rsidRDefault="002A0721" w:rsidP="002A0721">
            <w:pPr>
              <w:pStyle w:val="ListParagraph"/>
              <w:numPr>
                <w:ilvl w:val="0"/>
                <w:numId w:val="13"/>
              </w:numPr>
              <w:spacing w:line="254" w:lineRule="auto"/>
            </w:pPr>
            <w:r>
              <w:rPr>
                <w:sz w:val="24"/>
                <w:szCs w:val="24"/>
                <w:lang w:eastAsia="en-GB"/>
              </w:rPr>
              <w:t>Sarilumab [Kevzara]</w:t>
            </w:r>
          </w:p>
          <w:p w:rsidR="002A0721" w:rsidRDefault="002A0721" w:rsidP="002A0721">
            <w:pPr>
              <w:pStyle w:val="ListParagraph"/>
              <w:numPr>
                <w:ilvl w:val="0"/>
                <w:numId w:val="13"/>
              </w:numPr>
              <w:spacing w:line="254" w:lineRule="auto"/>
            </w:pPr>
            <w:r>
              <w:rPr>
                <w:sz w:val="24"/>
                <w:szCs w:val="24"/>
                <w:lang w:eastAsia="en-GB"/>
              </w:rPr>
              <w:t>Secukinumab [Cosentyx]</w:t>
            </w:r>
          </w:p>
          <w:p w:rsidR="002A0721" w:rsidRDefault="002A0721" w:rsidP="002A0721">
            <w:pPr>
              <w:pStyle w:val="ListParagraph"/>
              <w:numPr>
                <w:ilvl w:val="0"/>
                <w:numId w:val="13"/>
              </w:numPr>
              <w:spacing w:line="254" w:lineRule="auto"/>
            </w:pPr>
            <w:r>
              <w:rPr>
                <w:sz w:val="24"/>
                <w:szCs w:val="24"/>
                <w:lang w:eastAsia="en-GB"/>
              </w:rPr>
              <w:t>Tocilizumab [Ro Actemra]</w:t>
            </w:r>
          </w:p>
          <w:p w:rsidR="002A0721" w:rsidRDefault="002A0721" w:rsidP="002A0721">
            <w:pPr>
              <w:pStyle w:val="ListParagraph"/>
              <w:numPr>
                <w:ilvl w:val="0"/>
                <w:numId w:val="13"/>
              </w:numPr>
              <w:spacing w:line="254" w:lineRule="auto"/>
            </w:pPr>
            <w:r>
              <w:rPr>
                <w:sz w:val="24"/>
                <w:szCs w:val="24"/>
                <w:lang w:eastAsia="en-GB"/>
              </w:rPr>
              <w:t>Tofacitinib [Xeljanz]</w:t>
            </w:r>
          </w:p>
          <w:p w:rsidR="002A0721" w:rsidRDefault="002A0721" w:rsidP="002A0721">
            <w:pPr>
              <w:pStyle w:val="ListParagraph"/>
              <w:numPr>
                <w:ilvl w:val="0"/>
                <w:numId w:val="13"/>
              </w:numPr>
              <w:spacing w:line="254" w:lineRule="auto"/>
            </w:pPr>
            <w:r>
              <w:rPr>
                <w:sz w:val="24"/>
                <w:szCs w:val="24"/>
                <w:lang w:eastAsia="en-GB"/>
              </w:rPr>
              <w:t>Upadacitinib [Rinvoq]</w:t>
            </w:r>
          </w:p>
          <w:p w:rsidR="002A0721" w:rsidRDefault="002A0721" w:rsidP="002A0721">
            <w:pPr>
              <w:pStyle w:val="ListParagraph"/>
              <w:numPr>
                <w:ilvl w:val="0"/>
                <w:numId w:val="13"/>
              </w:numPr>
              <w:spacing w:line="254" w:lineRule="auto"/>
            </w:pPr>
            <w:r>
              <w:rPr>
                <w:sz w:val="24"/>
                <w:szCs w:val="24"/>
                <w:lang w:eastAsia="en-GB"/>
              </w:rPr>
              <w:t>Ustekinumab [Stelara]</w:t>
            </w:r>
          </w:p>
          <w:p w:rsidR="007E5D80" w:rsidRPr="00C97915" w:rsidRDefault="002A0721" w:rsidP="002A0721">
            <w:pPr>
              <w:tabs>
                <w:tab w:val="left" w:pos="3045"/>
              </w:tabs>
              <w:rPr>
                <w:rFonts w:cs="Calibri"/>
                <w:color w:val="000000"/>
              </w:rPr>
            </w:pPr>
            <w:r>
              <w:rPr>
                <w:rFonts w:cs="Calibri"/>
                <w:color w:val="000000"/>
              </w:rPr>
              <w:tab/>
            </w:r>
          </w:p>
        </w:tc>
        <w:tc>
          <w:tcPr>
            <w:tcW w:w="5219" w:type="dxa"/>
            <w:tcBorders>
              <w:top w:val="single" w:sz="4" w:space="0" w:color="auto"/>
              <w:left w:val="single" w:sz="4" w:space="0" w:color="auto"/>
              <w:bottom w:val="single" w:sz="4" w:space="0" w:color="auto"/>
              <w:right w:val="single" w:sz="4" w:space="0" w:color="auto"/>
            </w:tcBorders>
          </w:tcPr>
          <w:p w:rsidR="007E5D80" w:rsidRPr="00D81E41" w:rsidRDefault="007E5D80" w:rsidP="00316529">
            <w:pPr>
              <w:spacing w:line="252" w:lineRule="auto"/>
              <w:rPr>
                <w:rFonts w:asciiTheme="minorHAnsi" w:eastAsia="Calibri" w:hAnsiTheme="minorHAnsi" w:cstheme="minorHAnsi"/>
                <w:color w:val="0070C0"/>
                <w:sz w:val="24"/>
                <w:lang w:val="en-US" w:eastAsia="en-GB"/>
              </w:rPr>
            </w:pPr>
          </w:p>
          <w:p w:rsidR="00D81E41" w:rsidRPr="00D81E41" w:rsidRDefault="00D81E41" w:rsidP="00316529">
            <w:pPr>
              <w:spacing w:line="252" w:lineRule="auto"/>
              <w:rPr>
                <w:rFonts w:asciiTheme="minorHAnsi" w:eastAsia="Calibri" w:hAnsiTheme="minorHAnsi" w:cstheme="minorHAnsi"/>
                <w:color w:val="0070C0"/>
                <w:sz w:val="24"/>
                <w:lang w:val="en-US" w:eastAsia="en-GB"/>
              </w:rPr>
            </w:pPr>
          </w:p>
          <w:p w:rsidR="00D81E41" w:rsidRPr="00D81E41" w:rsidRDefault="00D81E41" w:rsidP="00316529">
            <w:pPr>
              <w:spacing w:line="252" w:lineRule="auto"/>
              <w:rPr>
                <w:rFonts w:asciiTheme="minorHAnsi" w:eastAsia="Calibri" w:hAnsiTheme="minorHAnsi" w:cstheme="minorHAnsi"/>
                <w:color w:val="0070C0"/>
                <w:sz w:val="24"/>
                <w:lang w:val="en-US" w:eastAsia="en-GB"/>
              </w:rPr>
            </w:pPr>
          </w:p>
          <w:p w:rsidR="00D81E41" w:rsidRPr="00D81E41" w:rsidRDefault="00D81E41" w:rsidP="00316529">
            <w:pPr>
              <w:spacing w:line="252" w:lineRule="auto"/>
              <w:rPr>
                <w:rFonts w:asciiTheme="minorHAnsi" w:eastAsia="Calibri" w:hAnsiTheme="minorHAnsi" w:cstheme="minorHAnsi"/>
                <w:color w:val="0070C0"/>
                <w:sz w:val="24"/>
                <w:lang w:val="en-US" w:eastAsia="en-GB"/>
              </w:rPr>
            </w:pPr>
          </w:p>
          <w:p w:rsidR="00D81E41" w:rsidRPr="00D81E41" w:rsidRDefault="00D81E41" w:rsidP="00D81E41">
            <w:pPr>
              <w:spacing w:line="252" w:lineRule="auto"/>
              <w:rPr>
                <w:rFonts w:eastAsia="Calibri" w:cs="Calibri"/>
                <w:color w:val="0070C0"/>
                <w:lang w:val="en-US" w:eastAsia="en-GB"/>
              </w:rPr>
            </w:pPr>
            <w:r w:rsidRPr="00D81E41">
              <w:rPr>
                <w:rFonts w:eastAsia="Calibri" w:cs="Calibri"/>
                <w:color w:val="0070C0"/>
                <w:lang w:val="en-US" w:eastAsia="en-GB"/>
              </w:rPr>
              <w:t>25</w:t>
            </w:r>
          </w:p>
          <w:p w:rsidR="00D81E41" w:rsidRPr="00D81E41" w:rsidRDefault="00946D5F" w:rsidP="00316529">
            <w:pPr>
              <w:spacing w:line="252" w:lineRule="auto"/>
              <w:rPr>
                <w:rFonts w:eastAsia="Calibri" w:cs="Calibri"/>
                <w:color w:val="0070C0"/>
                <w:lang w:val="en-US" w:eastAsia="en-GB"/>
              </w:rPr>
            </w:pPr>
            <w:r>
              <w:rPr>
                <w:rFonts w:eastAsia="Calibri" w:cs="Calibri"/>
                <w:color w:val="0070C0"/>
                <w:lang w:val="en-US" w:eastAsia="en-GB"/>
              </w:rPr>
              <w:t>&lt;5</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105</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31</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7</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9</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246</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10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13</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13</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10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0</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11</w:t>
            </w:r>
          </w:p>
          <w:p w:rsidR="00D81E41" w:rsidRPr="00D81E41" w:rsidRDefault="00D81E41" w:rsidP="00316529">
            <w:pPr>
              <w:spacing w:line="252" w:lineRule="auto"/>
              <w:rPr>
                <w:rFonts w:eastAsia="Calibri" w:cs="Calibri"/>
                <w:color w:val="0070C0"/>
                <w:lang w:val="en-US" w:eastAsia="en-GB"/>
              </w:rPr>
            </w:pPr>
            <w:r w:rsidRPr="00D81E41">
              <w:rPr>
                <w:rFonts w:eastAsia="Calibri" w:cs="Calibri"/>
                <w:color w:val="0070C0"/>
                <w:lang w:val="en-US" w:eastAsia="en-GB"/>
              </w:rPr>
              <w:t>37</w:t>
            </w:r>
          </w:p>
          <w:p w:rsidR="00D81E41" w:rsidRPr="00D81E41" w:rsidRDefault="00946D5F" w:rsidP="00316529">
            <w:pPr>
              <w:spacing w:line="252" w:lineRule="auto"/>
              <w:rPr>
                <w:rFonts w:eastAsia="Calibri" w:cs="Calibri"/>
                <w:color w:val="0070C0"/>
                <w:lang w:val="en-US" w:eastAsia="en-GB"/>
              </w:rPr>
            </w:pPr>
            <w:r>
              <w:rPr>
                <w:rFonts w:eastAsia="Calibri" w:cs="Calibri"/>
                <w:color w:val="0070C0"/>
                <w:lang w:val="en-US" w:eastAsia="en-GB"/>
              </w:rPr>
              <w:t>&lt;5</w:t>
            </w:r>
          </w:p>
          <w:p w:rsidR="00D81E41" w:rsidRPr="00D81E41" w:rsidRDefault="00946D5F" w:rsidP="00316529">
            <w:pPr>
              <w:spacing w:line="252" w:lineRule="auto"/>
              <w:rPr>
                <w:rFonts w:eastAsia="Calibri" w:cs="Calibri"/>
                <w:color w:val="0070C0"/>
                <w:lang w:val="en-US" w:eastAsia="en-GB"/>
              </w:rPr>
            </w:pPr>
            <w:r>
              <w:rPr>
                <w:rFonts w:eastAsia="Calibri" w:cs="Calibri"/>
                <w:color w:val="0070C0"/>
                <w:lang w:val="en-US" w:eastAsia="en-GB"/>
              </w:rPr>
              <w:t>&lt;5</w:t>
            </w:r>
          </w:p>
          <w:p w:rsidR="00D81E41" w:rsidRDefault="00946D5F" w:rsidP="00316529">
            <w:pPr>
              <w:spacing w:line="252" w:lineRule="auto"/>
              <w:rPr>
                <w:rFonts w:eastAsia="Calibri" w:cs="Calibri"/>
                <w:color w:val="0070C0"/>
                <w:lang w:val="en-US" w:eastAsia="en-GB"/>
              </w:rPr>
            </w:pPr>
            <w:r>
              <w:rPr>
                <w:rFonts w:eastAsia="Calibri" w:cs="Calibri"/>
                <w:color w:val="0070C0"/>
                <w:lang w:val="en-US" w:eastAsia="en-GB"/>
              </w:rPr>
              <w:t>&lt;5</w:t>
            </w:r>
          </w:p>
          <w:p w:rsidR="00946D5F" w:rsidRDefault="00946D5F" w:rsidP="00316529">
            <w:pPr>
              <w:spacing w:line="252" w:lineRule="auto"/>
              <w:rPr>
                <w:rFonts w:eastAsia="Calibri" w:cs="Calibri"/>
                <w:color w:val="0070C0"/>
                <w:lang w:val="en-US" w:eastAsia="en-GB"/>
              </w:rPr>
            </w:pPr>
          </w:p>
          <w:p w:rsidR="00946D5F" w:rsidRPr="00D81E41" w:rsidRDefault="00946D5F" w:rsidP="00316529">
            <w:pPr>
              <w:spacing w:line="252" w:lineRule="auto"/>
              <w:rPr>
                <w:rFonts w:eastAsia="Calibri" w:cs="Calibri"/>
                <w:color w:val="0070C0"/>
                <w:lang w:val="en-US" w:eastAsia="en-GB"/>
              </w:rPr>
            </w:pPr>
            <w:r w:rsidRPr="00B74AFD">
              <w:rPr>
                <w:rFonts w:ascii="Arial" w:eastAsia="Calibri" w:hAnsi="Arial" w:cs="Arial"/>
                <w:b/>
                <w:lang w:eastAsia="en-GB"/>
              </w:rPr>
              <w:t>The Trust considers that information you have requested would in some instances where</w:t>
            </w:r>
            <w:r>
              <w:rPr>
                <w:rFonts w:ascii="Arial" w:eastAsia="Calibri" w:hAnsi="Arial" w:cs="Arial"/>
                <w:b/>
                <w:lang w:eastAsia="en-GB"/>
              </w:rPr>
              <w:t xml:space="preserve"> very low volumes exist, potentially</w:t>
            </w:r>
            <w:r w:rsidRPr="00B74AFD">
              <w:rPr>
                <w:rFonts w:ascii="Arial" w:eastAsia="Calibri" w:hAnsi="Arial" w:cs="Arial"/>
                <w:b/>
                <w:lang w:eastAsia="en-GB"/>
              </w:rPr>
              <w:t xml:space="preserve"> identify an individual and constitutes sensitive personal information. It is therefore exempt under section 40 (2) of the Freedom of Information Act and will not be released as this will likely contravene the 1st (</w:t>
            </w:r>
            <w:r w:rsidRPr="00B74AFD">
              <w:rPr>
                <w:rFonts w:ascii="Arial" w:eastAsia="Calibri" w:hAnsi="Arial" w:cs="Arial"/>
                <w:b/>
                <w:bCs/>
                <w:lang w:eastAsia="en-GB"/>
              </w:rPr>
              <w:t>used fairly, lawfully and transparently</w:t>
            </w:r>
            <w:r w:rsidRPr="00B74AFD">
              <w:rPr>
                <w:rFonts w:ascii="Arial" w:eastAsia="Calibri" w:hAnsi="Arial" w:cs="Arial"/>
                <w:b/>
                <w:lang w:eastAsia="en-GB"/>
              </w:rPr>
              <w:t>) and 6th (</w:t>
            </w:r>
            <w:r w:rsidRPr="00B74AFD">
              <w:rPr>
                <w:rFonts w:ascii="Arial" w:eastAsia="Calibri" w:hAnsi="Arial" w:cs="Arial"/>
                <w:b/>
                <w:bCs/>
                <w:lang w:eastAsia="en-GB"/>
              </w:rPr>
              <w:t xml:space="preserve">handled in a way that ensures appropriate security, including protection against unlawful or unauthorised </w:t>
            </w:r>
            <w:r w:rsidRPr="00B74AFD">
              <w:rPr>
                <w:rFonts w:ascii="Arial" w:eastAsia="Calibri" w:hAnsi="Arial" w:cs="Arial"/>
                <w:b/>
                <w:bCs/>
                <w:lang w:eastAsia="en-GB"/>
              </w:rPr>
              <w:lastRenderedPageBreak/>
              <w:t>processing, access, loss destruction or damage</w:t>
            </w:r>
            <w:r w:rsidRPr="00B74AFD">
              <w:rPr>
                <w:rFonts w:ascii="Arial" w:eastAsia="Calibri" w:hAnsi="Arial" w:cs="Arial"/>
                <w:b/>
                <w:lang w:eastAsia="en-GB"/>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D81E41" w:rsidRPr="00D81E41" w:rsidRDefault="00D81E41" w:rsidP="00316529">
            <w:pPr>
              <w:spacing w:line="252" w:lineRule="auto"/>
              <w:rPr>
                <w:rFonts w:asciiTheme="minorHAnsi" w:eastAsia="Calibri" w:hAnsiTheme="minorHAnsi" w:cstheme="minorHAnsi"/>
                <w:color w:val="0070C0"/>
                <w:sz w:val="24"/>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2A0721" w:rsidRDefault="002A0721" w:rsidP="002A0721">
            <w:r>
              <w:rPr>
                <w:sz w:val="24"/>
                <w:szCs w:val="24"/>
                <w:lang w:eastAsia="en-GB"/>
              </w:rPr>
              <w:lastRenderedPageBreak/>
              <w:t xml:space="preserve"> Q2. Could you please provide the numbers of patients treated for Psoriatic Arthritis ONLY in the last 3 months with the following drugs. </w:t>
            </w:r>
          </w:p>
          <w:p w:rsidR="002A0721" w:rsidRDefault="002A0721" w:rsidP="002A0721">
            <w:pPr>
              <w:pStyle w:val="ListParagraph"/>
              <w:numPr>
                <w:ilvl w:val="0"/>
                <w:numId w:val="14"/>
              </w:numPr>
              <w:spacing w:line="254" w:lineRule="auto"/>
            </w:pPr>
            <w:r>
              <w:rPr>
                <w:sz w:val="24"/>
                <w:szCs w:val="24"/>
                <w:lang w:eastAsia="en-GB"/>
              </w:rPr>
              <w:t xml:space="preserve">Abatacept [Orencia] </w:t>
            </w:r>
          </w:p>
          <w:p w:rsidR="002A0721" w:rsidRDefault="002A0721" w:rsidP="002A0721">
            <w:pPr>
              <w:pStyle w:val="ListParagraph"/>
              <w:numPr>
                <w:ilvl w:val="0"/>
                <w:numId w:val="14"/>
              </w:numPr>
              <w:spacing w:line="254" w:lineRule="auto"/>
            </w:pPr>
            <w:r>
              <w:rPr>
                <w:sz w:val="24"/>
                <w:szCs w:val="24"/>
                <w:lang w:eastAsia="en-GB"/>
              </w:rPr>
              <w:t xml:space="preserve">Adalimumab [Humira] </w:t>
            </w:r>
          </w:p>
          <w:p w:rsidR="002A0721" w:rsidRDefault="002A0721" w:rsidP="002A0721">
            <w:pPr>
              <w:pStyle w:val="ListParagraph"/>
              <w:numPr>
                <w:ilvl w:val="0"/>
                <w:numId w:val="14"/>
              </w:numPr>
              <w:spacing w:line="254" w:lineRule="auto"/>
            </w:pPr>
            <w:r>
              <w:rPr>
                <w:sz w:val="24"/>
                <w:szCs w:val="24"/>
                <w:lang w:eastAsia="en-GB"/>
              </w:rPr>
              <w:t>Adalimumab Biosimilars</w:t>
            </w:r>
          </w:p>
          <w:p w:rsidR="002A0721" w:rsidRDefault="002A0721" w:rsidP="002A0721">
            <w:pPr>
              <w:pStyle w:val="ListParagraph"/>
              <w:numPr>
                <w:ilvl w:val="0"/>
                <w:numId w:val="14"/>
              </w:numPr>
              <w:spacing w:line="254" w:lineRule="auto"/>
            </w:pPr>
            <w:r>
              <w:rPr>
                <w:sz w:val="24"/>
                <w:szCs w:val="24"/>
                <w:lang w:eastAsia="en-GB"/>
              </w:rPr>
              <w:t xml:space="preserve">Apremilast [Otezla] </w:t>
            </w:r>
          </w:p>
          <w:p w:rsidR="002A0721" w:rsidRDefault="002A0721" w:rsidP="002A0721">
            <w:pPr>
              <w:pStyle w:val="ListParagraph"/>
              <w:numPr>
                <w:ilvl w:val="0"/>
                <w:numId w:val="14"/>
              </w:numPr>
              <w:spacing w:line="254" w:lineRule="auto"/>
            </w:pPr>
            <w:r>
              <w:rPr>
                <w:sz w:val="24"/>
                <w:szCs w:val="24"/>
                <w:lang w:eastAsia="en-GB"/>
              </w:rPr>
              <w:t xml:space="preserve">Certolizumab [Cimzia] </w:t>
            </w:r>
          </w:p>
          <w:p w:rsidR="002A0721" w:rsidRDefault="002A0721" w:rsidP="002A0721">
            <w:pPr>
              <w:pStyle w:val="ListParagraph"/>
              <w:numPr>
                <w:ilvl w:val="0"/>
                <w:numId w:val="14"/>
              </w:numPr>
              <w:spacing w:line="254" w:lineRule="auto"/>
            </w:pPr>
            <w:r>
              <w:rPr>
                <w:sz w:val="24"/>
                <w:szCs w:val="24"/>
                <w:lang w:eastAsia="en-GB"/>
              </w:rPr>
              <w:t xml:space="preserve">Etanercept [Enbrel] </w:t>
            </w:r>
          </w:p>
          <w:p w:rsidR="002A0721" w:rsidRDefault="002A0721" w:rsidP="002A0721">
            <w:pPr>
              <w:pStyle w:val="ListParagraph"/>
              <w:numPr>
                <w:ilvl w:val="0"/>
                <w:numId w:val="14"/>
              </w:numPr>
              <w:spacing w:line="254" w:lineRule="auto"/>
            </w:pPr>
            <w:r>
              <w:rPr>
                <w:sz w:val="24"/>
                <w:szCs w:val="24"/>
                <w:lang w:eastAsia="en-GB"/>
              </w:rPr>
              <w:t xml:space="preserve">Etanercept Biosimilars </w:t>
            </w:r>
          </w:p>
          <w:p w:rsidR="002A0721" w:rsidRDefault="002A0721" w:rsidP="002A0721">
            <w:pPr>
              <w:pStyle w:val="ListParagraph"/>
              <w:numPr>
                <w:ilvl w:val="0"/>
                <w:numId w:val="14"/>
              </w:numPr>
              <w:spacing w:line="254" w:lineRule="auto"/>
            </w:pPr>
            <w:r>
              <w:rPr>
                <w:sz w:val="24"/>
                <w:szCs w:val="24"/>
                <w:lang w:eastAsia="en-GB"/>
              </w:rPr>
              <w:t xml:space="preserve">Golimumab [Simponi] </w:t>
            </w:r>
          </w:p>
          <w:p w:rsidR="002A0721" w:rsidRDefault="002A0721" w:rsidP="002A0721">
            <w:pPr>
              <w:pStyle w:val="ListParagraph"/>
              <w:numPr>
                <w:ilvl w:val="0"/>
                <w:numId w:val="14"/>
              </w:numPr>
              <w:spacing w:line="254" w:lineRule="auto"/>
            </w:pPr>
            <w:r>
              <w:rPr>
                <w:sz w:val="24"/>
                <w:szCs w:val="24"/>
                <w:lang w:eastAsia="en-GB"/>
              </w:rPr>
              <w:t xml:space="preserve">Guselkumab [Tremfya] </w:t>
            </w:r>
          </w:p>
          <w:p w:rsidR="002A0721" w:rsidRDefault="002A0721" w:rsidP="002A0721">
            <w:pPr>
              <w:pStyle w:val="ListParagraph"/>
              <w:numPr>
                <w:ilvl w:val="0"/>
                <w:numId w:val="14"/>
              </w:numPr>
              <w:spacing w:line="254" w:lineRule="auto"/>
            </w:pPr>
            <w:r>
              <w:rPr>
                <w:sz w:val="24"/>
                <w:szCs w:val="24"/>
                <w:lang w:eastAsia="en-GB"/>
              </w:rPr>
              <w:t xml:space="preserve">Infliximab [Remicade] </w:t>
            </w:r>
          </w:p>
          <w:p w:rsidR="002A0721" w:rsidRDefault="002A0721" w:rsidP="002A0721">
            <w:pPr>
              <w:pStyle w:val="ListParagraph"/>
              <w:numPr>
                <w:ilvl w:val="0"/>
                <w:numId w:val="14"/>
              </w:numPr>
              <w:spacing w:line="254" w:lineRule="auto"/>
            </w:pPr>
            <w:r>
              <w:rPr>
                <w:sz w:val="24"/>
                <w:szCs w:val="24"/>
                <w:lang w:eastAsia="en-GB"/>
              </w:rPr>
              <w:t xml:space="preserve">Infliximab Biosimilars </w:t>
            </w:r>
          </w:p>
          <w:p w:rsidR="002A0721" w:rsidRDefault="002A0721" w:rsidP="002A0721">
            <w:pPr>
              <w:pStyle w:val="ListParagraph"/>
              <w:numPr>
                <w:ilvl w:val="0"/>
                <w:numId w:val="14"/>
              </w:numPr>
              <w:spacing w:line="254" w:lineRule="auto"/>
            </w:pPr>
            <w:r>
              <w:rPr>
                <w:sz w:val="24"/>
                <w:szCs w:val="24"/>
                <w:lang w:eastAsia="en-GB"/>
              </w:rPr>
              <w:t xml:space="preserve">Ixekizumab [Taltz] </w:t>
            </w:r>
          </w:p>
          <w:p w:rsidR="002A0721" w:rsidRDefault="002A0721" w:rsidP="002A0721">
            <w:pPr>
              <w:pStyle w:val="ListParagraph"/>
              <w:numPr>
                <w:ilvl w:val="0"/>
                <w:numId w:val="14"/>
              </w:numPr>
              <w:spacing w:line="254" w:lineRule="auto"/>
            </w:pPr>
            <w:r>
              <w:rPr>
                <w:sz w:val="24"/>
                <w:szCs w:val="24"/>
                <w:lang w:eastAsia="en-GB"/>
              </w:rPr>
              <w:t>Risankizumab [Skyrizi]</w:t>
            </w:r>
          </w:p>
          <w:p w:rsidR="002A0721" w:rsidRDefault="002A0721" w:rsidP="002A0721">
            <w:pPr>
              <w:pStyle w:val="ListParagraph"/>
              <w:numPr>
                <w:ilvl w:val="0"/>
                <w:numId w:val="14"/>
              </w:numPr>
              <w:spacing w:line="254" w:lineRule="auto"/>
            </w:pPr>
            <w:r>
              <w:rPr>
                <w:sz w:val="24"/>
                <w:szCs w:val="24"/>
                <w:lang w:eastAsia="en-GB"/>
              </w:rPr>
              <w:t xml:space="preserve">Secukinumab [Cosentyx] </w:t>
            </w:r>
          </w:p>
          <w:p w:rsidR="002A0721" w:rsidRDefault="002A0721" w:rsidP="002A0721">
            <w:pPr>
              <w:pStyle w:val="ListParagraph"/>
              <w:numPr>
                <w:ilvl w:val="0"/>
                <w:numId w:val="14"/>
              </w:numPr>
              <w:spacing w:line="254" w:lineRule="auto"/>
            </w:pPr>
            <w:r>
              <w:rPr>
                <w:sz w:val="24"/>
                <w:szCs w:val="24"/>
                <w:lang w:eastAsia="en-GB"/>
              </w:rPr>
              <w:t xml:space="preserve">Tofacitinib [Xeljanz] </w:t>
            </w:r>
          </w:p>
          <w:p w:rsidR="002A0721" w:rsidRDefault="002A0721" w:rsidP="002A0721">
            <w:pPr>
              <w:pStyle w:val="ListParagraph"/>
              <w:numPr>
                <w:ilvl w:val="0"/>
                <w:numId w:val="14"/>
              </w:numPr>
              <w:spacing w:line="254" w:lineRule="auto"/>
            </w:pPr>
            <w:r>
              <w:rPr>
                <w:sz w:val="24"/>
                <w:szCs w:val="24"/>
                <w:lang w:eastAsia="en-GB"/>
              </w:rPr>
              <w:t>Upadacitinib [Rinvoq]</w:t>
            </w:r>
          </w:p>
          <w:p w:rsidR="002A0721" w:rsidRDefault="002A0721" w:rsidP="002A0721">
            <w:pPr>
              <w:pStyle w:val="ListParagraph"/>
              <w:numPr>
                <w:ilvl w:val="0"/>
                <w:numId w:val="14"/>
              </w:numPr>
              <w:spacing w:line="254" w:lineRule="auto"/>
            </w:pPr>
            <w:r>
              <w:rPr>
                <w:sz w:val="24"/>
                <w:szCs w:val="24"/>
                <w:lang w:eastAsia="en-GB"/>
              </w:rPr>
              <w:t xml:space="preserve">Ustekinumab [Stelara] </w:t>
            </w:r>
          </w:p>
          <w:p w:rsidR="007E5D80" w:rsidRPr="00C97915" w:rsidRDefault="007E5D80" w:rsidP="00C97915">
            <w:pPr>
              <w:rPr>
                <w:rFonts w:cs="Calibri"/>
                <w:color w:val="000000"/>
              </w:rPr>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3C2A52" w:rsidRDefault="003C2A52" w:rsidP="00316529">
            <w:pPr>
              <w:spacing w:line="252" w:lineRule="auto"/>
              <w:rPr>
                <w:rFonts w:ascii="Arial" w:eastAsia="Calibri" w:hAnsi="Arial" w:cs="Arial"/>
                <w:color w:val="0070C0"/>
                <w:lang w:val="en-US" w:eastAsia="en-GB"/>
              </w:rPr>
            </w:pPr>
          </w:p>
          <w:p w:rsidR="003C2A52" w:rsidRDefault="003C2A52" w:rsidP="00316529">
            <w:pPr>
              <w:spacing w:line="252" w:lineRule="auto"/>
              <w:rPr>
                <w:rFonts w:ascii="Arial" w:eastAsia="Calibri" w:hAnsi="Arial" w:cs="Arial"/>
                <w:color w:val="0070C0"/>
                <w:lang w:val="en-US" w:eastAsia="en-GB"/>
              </w:rPr>
            </w:pPr>
          </w:p>
          <w:p w:rsidR="003C2A52" w:rsidRDefault="003C2A52" w:rsidP="00316529">
            <w:pPr>
              <w:spacing w:line="252" w:lineRule="auto"/>
              <w:rPr>
                <w:rFonts w:ascii="Arial" w:eastAsia="Calibri" w:hAnsi="Arial" w:cs="Arial"/>
                <w:color w:val="0070C0"/>
                <w:lang w:val="en-US" w:eastAsia="en-GB"/>
              </w:rPr>
            </w:pPr>
            <w:r w:rsidRPr="003C2A52">
              <w:rPr>
                <w:rFonts w:ascii="Arial" w:eastAsia="Calibri" w:hAnsi="Arial" w:cs="Arial"/>
                <w:color w:val="0070C0"/>
                <w:lang w:val="en-US" w:eastAsia="en-GB"/>
              </w:rPr>
              <w:t>Unable to identify from reporting systems</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F1" w:rsidRDefault="005968F1" w:rsidP="0033551A">
      <w:pPr>
        <w:spacing w:after="0" w:line="240" w:lineRule="auto"/>
      </w:pPr>
      <w:r>
        <w:separator/>
      </w:r>
    </w:p>
  </w:endnote>
  <w:endnote w:type="continuationSeparator" w:id="0">
    <w:p w:rsidR="005968F1" w:rsidRDefault="005968F1"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F1" w:rsidRDefault="005968F1" w:rsidP="0033551A">
      <w:pPr>
        <w:spacing w:after="0" w:line="240" w:lineRule="auto"/>
      </w:pPr>
      <w:r>
        <w:separator/>
      </w:r>
    </w:p>
  </w:footnote>
  <w:footnote w:type="continuationSeparator" w:id="0">
    <w:p w:rsidR="005968F1" w:rsidRDefault="005968F1"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284A2C"/>
    <w:multiLevelType w:val="hybridMultilevel"/>
    <w:tmpl w:val="8B5E3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9757F28"/>
    <w:multiLevelType w:val="hybridMultilevel"/>
    <w:tmpl w:val="94807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9"/>
  </w:num>
  <w:num w:numId="13">
    <w:abstractNumId w:val="11"/>
  </w:num>
  <w:num w:numId="14">
    <w:abstractNumId w:val="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64FB"/>
    <w:rsid w:val="00156725"/>
    <w:rsid w:val="001E465E"/>
    <w:rsid w:val="00237B1C"/>
    <w:rsid w:val="002651EE"/>
    <w:rsid w:val="00273F0C"/>
    <w:rsid w:val="002A0721"/>
    <w:rsid w:val="002A7C24"/>
    <w:rsid w:val="002F1421"/>
    <w:rsid w:val="00316529"/>
    <w:rsid w:val="003354E7"/>
    <w:rsid w:val="0033551A"/>
    <w:rsid w:val="003503FB"/>
    <w:rsid w:val="003804ED"/>
    <w:rsid w:val="003C2A52"/>
    <w:rsid w:val="003C4E44"/>
    <w:rsid w:val="004360B0"/>
    <w:rsid w:val="00441658"/>
    <w:rsid w:val="004738BF"/>
    <w:rsid w:val="00482226"/>
    <w:rsid w:val="00496B87"/>
    <w:rsid w:val="004A4CD1"/>
    <w:rsid w:val="004B4B3E"/>
    <w:rsid w:val="00504570"/>
    <w:rsid w:val="00533AE8"/>
    <w:rsid w:val="00547C6C"/>
    <w:rsid w:val="0059095F"/>
    <w:rsid w:val="00591684"/>
    <w:rsid w:val="005968F1"/>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46D5F"/>
    <w:rsid w:val="009529EC"/>
    <w:rsid w:val="00957B65"/>
    <w:rsid w:val="009D4EB5"/>
    <w:rsid w:val="00A5218A"/>
    <w:rsid w:val="00AB100E"/>
    <w:rsid w:val="00B21EE9"/>
    <w:rsid w:val="00B46636"/>
    <w:rsid w:val="00C41C65"/>
    <w:rsid w:val="00C830A2"/>
    <w:rsid w:val="00C97915"/>
    <w:rsid w:val="00CA1233"/>
    <w:rsid w:val="00CF2C29"/>
    <w:rsid w:val="00D81E41"/>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73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0168875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76502638">
      <w:bodyDiv w:val="1"/>
      <w:marLeft w:val="0"/>
      <w:marRight w:val="0"/>
      <w:marTop w:val="0"/>
      <w:marBottom w:val="0"/>
      <w:divBdr>
        <w:top w:val="none" w:sz="0" w:space="0" w:color="auto"/>
        <w:left w:val="none" w:sz="0" w:space="0" w:color="auto"/>
        <w:bottom w:val="none" w:sz="0" w:space="0" w:color="auto"/>
        <w:right w:val="none" w:sz="0" w:space="0" w:color="auto"/>
      </w:divBdr>
    </w:div>
    <w:div w:id="150034563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353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MORLEY, Sophie</cp:lastModifiedBy>
  <cp:revision>2</cp:revision>
  <cp:lastPrinted>2021-09-17T08:04:00Z</cp:lastPrinted>
  <dcterms:created xsi:type="dcterms:W3CDTF">2021-09-21T08:48:00Z</dcterms:created>
  <dcterms:modified xsi:type="dcterms:W3CDTF">2021-09-21T08:48:00Z</dcterms:modified>
</cp:coreProperties>
</file>