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A24930">
        <w:rPr>
          <w:rFonts w:ascii="Arial" w:eastAsia="Calibri" w:hAnsi="Arial" w:cs="Arial"/>
          <w:b/>
          <w:sz w:val="24"/>
          <w:szCs w:val="24"/>
        </w:rPr>
        <w:t>6117</w:t>
      </w:r>
    </w:p>
    <w:p w:rsidR="00156725" w:rsidRDefault="00D87C3B" w:rsidP="00D87C3B">
      <w:pPr>
        <w:spacing w:after="0" w:line="240" w:lineRule="auto"/>
        <w:ind w:right="2363"/>
        <w:rPr>
          <w:rFonts w:ascii="Arial" w:eastAsia="Calibri" w:hAnsi="Arial" w:cs="Arial"/>
          <w:b/>
          <w:sz w:val="24"/>
          <w:szCs w:val="24"/>
        </w:rPr>
      </w:pPr>
      <w:proofErr w:type="gramStart"/>
      <w:r w:rsidRPr="00D87C3B">
        <w:rPr>
          <w:rFonts w:ascii="Arial" w:eastAsia="Calibri" w:hAnsi="Arial" w:cs="Arial"/>
          <w:b/>
          <w:sz w:val="24"/>
          <w:szCs w:val="24"/>
        </w:rPr>
        <w:t>Category(</w:t>
      </w:r>
      <w:proofErr w:type="spellStart"/>
      <w:proofErr w:type="gramEnd"/>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A24930">
        <w:rPr>
          <w:rFonts w:ascii="Arial" w:eastAsia="Calibri" w:hAnsi="Arial" w:cs="Arial"/>
          <w:b/>
          <w:sz w:val="24"/>
          <w:szCs w:val="24"/>
        </w:rPr>
        <w:t xml:space="preserve"> Trust - IT</w:t>
      </w:r>
      <w:r w:rsidR="004738BF">
        <w:rPr>
          <w:rFonts w:ascii="Arial" w:eastAsia="Calibri" w:hAnsi="Arial" w:cs="Arial"/>
          <w:b/>
          <w:sz w:val="24"/>
          <w:szCs w:val="24"/>
        </w:rPr>
        <w:t xml:space="preserve"> </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A24930">
        <w:rPr>
          <w:rFonts w:ascii="Arial" w:eastAsia="Calibri" w:hAnsi="Arial" w:cs="Arial"/>
          <w:b/>
          <w:sz w:val="24"/>
          <w:szCs w:val="24"/>
        </w:rPr>
        <w:t>Radiology</w:t>
      </w:r>
      <w:r w:rsidR="001E10CD">
        <w:rPr>
          <w:rFonts w:ascii="Arial" w:eastAsia="Calibri" w:hAnsi="Arial" w:cs="Arial"/>
          <w:b/>
          <w:sz w:val="24"/>
          <w:szCs w:val="24"/>
        </w:rPr>
        <w:t xml:space="preserve"> / Pathology</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A24930">
        <w:rPr>
          <w:rFonts w:ascii="Arial" w:eastAsia="Calibri" w:hAnsi="Arial" w:cs="Arial"/>
          <w:b/>
          <w:sz w:val="24"/>
          <w:szCs w:val="24"/>
        </w:rPr>
        <w:t>29/11/2021</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A24930" w:rsidRDefault="00A24930" w:rsidP="00A24930">
            <w:r>
              <w:t>What is the main Radiology (RIS/CRIS) system that your Trust/Health Board runs?</w:t>
            </w:r>
          </w:p>
          <w:p w:rsidR="00A24930" w:rsidRDefault="00A24930" w:rsidP="00A24930">
            <w:r>
              <w:t>Who is the supplier of this system?</w:t>
            </w:r>
          </w:p>
          <w:p w:rsidR="00A24930" w:rsidRDefault="00A24930" w:rsidP="00A24930">
            <w:r>
              <w:t>What is the annual cost of the system?</w:t>
            </w:r>
          </w:p>
          <w:p w:rsidR="00A24930" w:rsidRDefault="00A24930" w:rsidP="00A24930">
            <w:r>
              <w:t>How long is the contract for the system, and when does it expire?</w:t>
            </w:r>
          </w:p>
          <w:p w:rsidR="007E5D80" w:rsidRPr="00BE2769" w:rsidRDefault="00A24930" w:rsidP="00A24930">
            <w:r>
              <w:t>What is the overall lifetime cost of the system?</w:t>
            </w:r>
          </w:p>
        </w:tc>
        <w:tc>
          <w:tcPr>
            <w:tcW w:w="5219" w:type="dxa"/>
            <w:tcBorders>
              <w:top w:val="single" w:sz="4" w:space="0" w:color="auto"/>
              <w:left w:val="single" w:sz="4" w:space="0" w:color="auto"/>
              <w:bottom w:val="single" w:sz="4" w:space="0" w:color="auto"/>
              <w:right w:val="single" w:sz="4" w:space="0" w:color="auto"/>
            </w:tcBorders>
          </w:tcPr>
          <w:p w:rsidR="007E5D80" w:rsidRDefault="007E2F6A"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AGFA IMPAX RIS</w:t>
            </w:r>
          </w:p>
          <w:p w:rsidR="007E2F6A" w:rsidRDefault="007E2F6A"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AGFA Healthcare</w:t>
            </w:r>
          </w:p>
          <w:p w:rsidR="00AD729D" w:rsidRDefault="00AD729D"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10 years contract, expiry 2030.</w:t>
            </w:r>
          </w:p>
          <w:p w:rsidR="00AD729D" w:rsidRDefault="00AD729D" w:rsidP="00316529">
            <w:pPr>
              <w:spacing w:line="252" w:lineRule="auto"/>
              <w:rPr>
                <w:rFonts w:ascii="Arial" w:eastAsia="Calibri" w:hAnsi="Arial" w:cs="Arial"/>
                <w:color w:val="0070C0"/>
                <w:lang w:val="en-US" w:eastAsia="en-GB"/>
              </w:rPr>
            </w:pPr>
          </w:p>
          <w:p w:rsidR="00AD729D" w:rsidRPr="00AD729D" w:rsidRDefault="00AD729D" w:rsidP="00AD729D">
            <w:pPr>
              <w:spacing w:line="252" w:lineRule="auto"/>
              <w:rPr>
                <w:rFonts w:ascii="Arial" w:eastAsia="Calibri" w:hAnsi="Arial" w:cs="Arial"/>
                <w:color w:val="0070C0"/>
                <w:lang w:val="en-US" w:eastAsia="en-GB"/>
              </w:rPr>
            </w:pPr>
            <w:r w:rsidRPr="00AD729D">
              <w:rPr>
                <w:rFonts w:ascii="Arial" w:eastAsia="Calibri" w:hAnsi="Arial" w:cs="Arial"/>
                <w:color w:val="0070C0"/>
                <w:lang w:val="en-US" w:eastAsia="en-GB"/>
              </w:rPr>
              <w:t>Due to the commercially sensitive nature of the request for pricing information, the disclosure of such information would be prejudicial to the Supplier’s commercial interests.  The harm that would be caused to the Supplier by the release of such information would affect their ability to participate competitively within the commercial market.</w:t>
            </w:r>
          </w:p>
          <w:p w:rsidR="00AD729D" w:rsidRPr="00AD729D" w:rsidRDefault="00AD729D" w:rsidP="00AD729D">
            <w:pPr>
              <w:spacing w:line="252" w:lineRule="auto"/>
              <w:rPr>
                <w:rFonts w:ascii="Arial" w:eastAsia="Calibri" w:hAnsi="Arial" w:cs="Arial"/>
                <w:color w:val="0070C0"/>
                <w:lang w:val="en-US" w:eastAsia="en-GB"/>
              </w:rPr>
            </w:pPr>
          </w:p>
          <w:p w:rsidR="007E2F6A" w:rsidRDefault="00AD729D" w:rsidP="00AD729D">
            <w:pPr>
              <w:spacing w:line="252" w:lineRule="auto"/>
              <w:rPr>
                <w:rFonts w:ascii="Arial" w:eastAsia="Calibri" w:hAnsi="Arial" w:cs="Arial"/>
                <w:color w:val="0070C0"/>
                <w:lang w:val="en-US" w:eastAsia="en-GB"/>
              </w:rPr>
            </w:pPr>
            <w:r w:rsidRPr="00AD729D">
              <w:rPr>
                <w:rFonts w:ascii="Arial" w:eastAsia="Calibri" w:hAnsi="Arial" w:cs="Arial"/>
                <w:color w:val="0070C0"/>
                <w:lang w:val="en-US" w:eastAsia="en-GB"/>
              </w:rPr>
              <w:t>Therefore Agfa requests that the Trust does not release such information, as it is protected under Section 43(2) of Part II of the Freedom of Information Act.’</w:t>
            </w:r>
          </w:p>
          <w:p w:rsidR="007E2F6A" w:rsidRDefault="007E2F6A" w:rsidP="00316529">
            <w:pPr>
              <w:spacing w:line="252" w:lineRule="auto"/>
              <w:rPr>
                <w:rFonts w:ascii="Arial" w:eastAsia="Calibri" w:hAnsi="Arial" w:cs="Arial"/>
                <w:color w:val="0070C0"/>
                <w:lang w:val="en-US" w:eastAsia="en-GB"/>
              </w:rPr>
            </w:pP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A24930" w:rsidRDefault="00A24930" w:rsidP="00A24930">
            <w:r>
              <w:t>What is the main Picture Archiving and Communications System (PACS) system that your Trust/Health Board runs?</w:t>
            </w:r>
          </w:p>
          <w:p w:rsidR="00A24930" w:rsidRDefault="00A24930" w:rsidP="00A24930">
            <w:r>
              <w:t>Who is the supplier of this system?</w:t>
            </w:r>
          </w:p>
          <w:p w:rsidR="00A24930" w:rsidRDefault="00A24930" w:rsidP="00A24930">
            <w:r>
              <w:t>What is the annual cost of the system?</w:t>
            </w:r>
          </w:p>
          <w:p w:rsidR="00A24930" w:rsidRDefault="00A24930" w:rsidP="00A24930">
            <w:r>
              <w:t>How long is the contract for the system, and when does it expire?</w:t>
            </w:r>
          </w:p>
          <w:p w:rsidR="007E5D80" w:rsidRPr="00BE2769" w:rsidRDefault="00A24930" w:rsidP="00A24930">
            <w:r>
              <w:t>What is the overall lifetime cost of the system?</w:t>
            </w:r>
          </w:p>
        </w:tc>
        <w:tc>
          <w:tcPr>
            <w:tcW w:w="5219" w:type="dxa"/>
            <w:tcBorders>
              <w:top w:val="single" w:sz="4" w:space="0" w:color="auto"/>
              <w:left w:val="single" w:sz="4" w:space="0" w:color="auto"/>
              <w:bottom w:val="single" w:sz="4" w:space="0" w:color="auto"/>
              <w:right w:val="single" w:sz="4" w:space="0" w:color="auto"/>
            </w:tcBorders>
          </w:tcPr>
          <w:p w:rsidR="007E5D80" w:rsidRDefault="007E2F6A"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AGFA Enterprise Imaging</w:t>
            </w:r>
          </w:p>
          <w:p w:rsidR="007E2F6A" w:rsidRDefault="007E2F6A"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AGFA Healthcare</w:t>
            </w:r>
          </w:p>
          <w:p w:rsidR="007E2F6A" w:rsidRDefault="007E2F6A" w:rsidP="007E2F6A">
            <w:pPr>
              <w:spacing w:line="252" w:lineRule="auto"/>
              <w:rPr>
                <w:rFonts w:ascii="Arial" w:eastAsia="Calibri" w:hAnsi="Arial" w:cs="Arial"/>
                <w:color w:val="0070C0"/>
                <w:lang w:val="en-US" w:eastAsia="en-GB"/>
              </w:rPr>
            </w:pPr>
          </w:p>
          <w:p w:rsidR="007E2F6A" w:rsidRDefault="007E2F6A" w:rsidP="007E2F6A">
            <w:pPr>
              <w:spacing w:line="252" w:lineRule="auto"/>
              <w:rPr>
                <w:rFonts w:ascii="Arial" w:eastAsia="Calibri" w:hAnsi="Arial" w:cs="Arial"/>
                <w:color w:val="0070C0"/>
                <w:lang w:val="en-US" w:eastAsia="en-GB"/>
              </w:rPr>
            </w:pPr>
            <w:r>
              <w:rPr>
                <w:rFonts w:ascii="Arial" w:eastAsia="Calibri" w:hAnsi="Arial" w:cs="Arial"/>
                <w:color w:val="0070C0"/>
                <w:lang w:val="en-US" w:eastAsia="en-GB"/>
              </w:rPr>
              <w:t>10 years contract, expiry 2030.</w:t>
            </w:r>
          </w:p>
          <w:p w:rsidR="00AD729D" w:rsidRDefault="00AD729D" w:rsidP="007E2F6A">
            <w:pPr>
              <w:spacing w:line="252" w:lineRule="auto"/>
              <w:rPr>
                <w:rFonts w:ascii="Arial" w:eastAsia="Calibri" w:hAnsi="Arial" w:cs="Arial"/>
                <w:color w:val="0070C0"/>
                <w:lang w:val="en-US" w:eastAsia="en-GB"/>
              </w:rPr>
            </w:pPr>
          </w:p>
          <w:p w:rsidR="00AD729D" w:rsidRPr="00AD729D" w:rsidRDefault="00AD729D" w:rsidP="00AD729D">
            <w:pPr>
              <w:spacing w:line="252" w:lineRule="auto"/>
              <w:rPr>
                <w:rFonts w:ascii="Arial" w:eastAsia="Calibri" w:hAnsi="Arial" w:cs="Arial"/>
                <w:color w:val="0070C0"/>
                <w:lang w:val="en-US" w:eastAsia="en-GB"/>
              </w:rPr>
            </w:pPr>
            <w:r w:rsidRPr="00AD729D">
              <w:rPr>
                <w:rFonts w:ascii="Arial" w:eastAsia="Calibri" w:hAnsi="Arial" w:cs="Arial"/>
                <w:color w:val="0070C0"/>
                <w:lang w:val="en-US" w:eastAsia="en-GB"/>
              </w:rPr>
              <w:t>Due to the commercially sensitive nature of the request for pricing information, the disclosure of such information would be prejudicial to the Supplier’s commercial interests.  The harm that would be caused to the Supplier by the release of such information would affect their ability to participate competitively within the commercial market.</w:t>
            </w:r>
          </w:p>
          <w:p w:rsidR="00AD729D" w:rsidRPr="00AD729D" w:rsidRDefault="00AD729D" w:rsidP="00AD729D">
            <w:pPr>
              <w:spacing w:line="252" w:lineRule="auto"/>
              <w:rPr>
                <w:rFonts w:ascii="Arial" w:eastAsia="Calibri" w:hAnsi="Arial" w:cs="Arial"/>
                <w:color w:val="0070C0"/>
                <w:lang w:val="en-US" w:eastAsia="en-GB"/>
              </w:rPr>
            </w:pPr>
          </w:p>
          <w:p w:rsidR="007E2F6A" w:rsidRDefault="00AD729D" w:rsidP="00AD729D">
            <w:pPr>
              <w:spacing w:line="252" w:lineRule="auto"/>
              <w:rPr>
                <w:rFonts w:ascii="Arial" w:eastAsia="Calibri" w:hAnsi="Arial" w:cs="Arial"/>
                <w:color w:val="0070C0"/>
                <w:lang w:val="en-US" w:eastAsia="en-GB"/>
              </w:rPr>
            </w:pPr>
            <w:r w:rsidRPr="00AD729D">
              <w:rPr>
                <w:rFonts w:ascii="Arial" w:eastAsia="Calibri" w:hAnsi="Arial" w:cs="Arial"/>
                <w:color w:val="0070C0"/>
                <w:lang w:val="en-US" w:eastAsia="en-GB"/>
              </w:rPr>
              <w:t>Therefore Agfa requests that the Trust does not release such information, as it is protected under Section 43(2) of Part II of the Freedom of Information Act.’</w:t>
            </w:r>
          </w:p>
          <w:p w:rsidR="007E2F6A" w:rsidRDefault="007E2F6A" w:rsidP="007E2F6A">
            <w:pPr>
              <w:spacing w:line="252" w:lineRule="auto"/>
              <w:rPr>
                <w:rFonts w:ascii="Arial" w:eastAsia="Calibri" w:hAnsi="Arial" w:cs="Arial"/>
                <w:color w:val="0070C0"/>
                <w:lang w:val="en-US" w:eastAsia="en-GB"/>
              </w:rPr>
            </w:pPr>
          </w:p>
          <w:p w:rsidR="00276B9B" w:rsidRDefault="00276B9B" w:rsidP="007E2F6A">
            <w:pPr>
              <w:spacing w:line="252" w:lineRule="auto"/>
              <w:rPr>
                <w:rFonts w:ascii="Arial" w:eastAsia="Calibri" w:hAnsi="Arial" w:cs="Arial"/>
                <w:color w:val="0070C0"/>
                <w:lang w:val="en-US" w:eastAsia="en-GB"/>
              </w:rPr>
            </w:pPr>
          </w:p>
          <w:p w:rsidR="00276B9B" w:rsidRDefault="00276B9B" w:rsidP="007E2F6A">
            <w:pPr>
              <w:spacing w:line="252" w:lineRule="auto"/>
              <w:rPr>
                <w:rFonts w:ascii="Arial" w:eastAsia="Calibri" w:hAnsi="Arial" w:cs="Arial"/>
                <w:color w:val="0070C0"/>
                <w:lang w:val="en-US" w:eastAsia="en-GB"/>
              </w:rPr>
            </w:pPr>
          </w:p>
          <w:p w:rsidR="00276B9B" w:rsidRDefault="00276B9B" w:rsidP="007E2F6A">
            <w:pPr>
              <w:spacing w:line="252" w:lineRule="auto"/>
              <w:rPr>
                <w:rFonts w:ascii="Arial" w:eastAsia="Calibri" w:hAnsi="Arial" w:cs="Arial"/>
                <w:color w:val="0070C0"/>
                <w:lang w:val="en-US" w:eastAsia="en-GB"/>
              </w:rPr>
            </w:pPr>
          </w:p>
          <w:p w:rsidR="00276B9B" w:rsidRDefault="00276B9B" w:rsidP="007E2F6A">
            <w:pPr>
              <w:spacing w:line="252" w:lineRule="auto"/>
              <w:rPr>
                <w:rFonts w:ascii="Arial" w:eastAsia="Calibri" w:hAnsi="Arial" w:cs="Arial"/>
                <w:color w:val="0070C0"/>
                <w:lang w:val="en-US" w:eastAsia="en-GB"/>
              </w:rPr>
            </w:pPr>
          </w:p>
          <w:p w:rsidR="00276B9B" w:rsidRDefault="00276B9B" w:rsidP="007E2F6A">
            <w:pPr>
              <w:spacing w:line="252" w:lineRule="auto"/>
              <w:rPr>
                <w:rFonts w:ascii="Arial" w:eastAsia="Calibri" w:hAnsi="Arial" w:cs="Arial"/>
                <w:color w:val="0070C0"/>
                <w:lang w:val="en-US" w:eastAsia="en-GB"/>
              </w:rPr>
            </w:pPr>
          </w:p>
          <w:p w:rsidR="00276B9B" w:rsidRPr="007E2F6A" w:rsidRDefault="00276B9B" w:rsidP="007E2F6A">
            <w:pPr>
              <w:spacing w:line="252" w:lineRule="auto"/>
              <w:rPr>
                <w:rFonts w:ascii="Arial" w:eastAsia="Calibri" w:hAnsi="Arial" w:cs="Arial"/>
                <w:color w:val="0070C0"/>
                <w:lang w:val="en-US" w:eastAsia="en-GB"/>
              </w:rPr>
            </w:pP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A24930" w:rsidRDefault="00A24930" w:rsidP="00A24930">
            <w:r>
              <w:lastRenderedPageBreak/>
              <w:t>What is the main Pathology (LIMS) system that your Trust/Health Board runs?</w:t>
            </w:r>
          </w:p>
          <w:p w:rsidR="00A24930" w:rsidRDefault="00A24930" w:rsidP="00A24930">
            <w:r>
              <w:t>Who is the supplier of this system?</w:t>
            </w:r>
          </w:p>
          <w:p w:rsidR="00A24930" w:rsidRDefault="00A24930" w:rsidP="00A24930">
            <w:r>
              <w:t>What is the annual cost of the system?</w:t>
            </w:r>
          </w:p>
          <w:p w:rsidR="00A24930" w:rsidRDefault="00A24930" w:rsidP="00A24930">
            <w:r>
              <w:t>How long is the contract for the system, and when does it expire?</w:t>
            </w:r>
          </w:p>
          <w:p w:rsidR="007E5D80" w:rsidRPr="00BE2769" w:rsidRDefault="00A24930" w:rsidP="00A24930">
            <w:r>
              <w:t>What is the overall lifetime cost of the system?</w:t>
            </w:r>
          </w:p>
        </w:tc>
        <w:tc>
          <w:tcPr>
            <w:tcW w:w="5219" w:type="dxa"/>
            <w:tcBorders>
              <w:top w:val="single" w:sz="4" w:space="0" w:color="auto"/>
              <w:left w:val="single" w:sz="4" w:space="0" w:color="auto"/>
              <w:bottom w:val="single" w:sz="4" w:space="0" w:color="auto"/>
              <w:right w:val="single" w:sz="4" w:space="0" w:color="auto"/>
            </w:tcBorders>
          </w:tcPr>
          <w:p w:rsidR="00276B9B" w:rsidRDefault="00276B9B" w:rsidP="00316529">
            <w:pPr>
              <w:spacing w:line="252" w:lineRule="auto"/>
              <w:rPr>
                <w:rFonts w:ascii="Arial" w:eastAsia="Calibri" w:hAnsi="Arial" w:cs="Arial"/>
                <w:color w:val="0070C0"/>
                <w:lang w:val="en-US" w:eastAsia="en-GB"/>
              </w:rPr>
            </w:pPr>
          </w:p>
          <w:p w:rsidR="007E5D80" w:rsidRDefault="00D930DC" w:rsidP="00316529">
            <w:pPr>
              <w:spacing w:line="252" w:lineRule="auto"/>
              <w:rPr>
                <w:rFonts w:ascii="Arial" w:eastAsia="Calibri" w:hAnsi="Arial" w:cs="Arial"/>
                <w:color w:val="0070C0"/>
                <w:lang w:val="en-US" w:eastAsia="en-GB"/>
              </w:rPr>
            </w:pPr>
            <w:proofErr w:type="spellStart"/>
            <w:r>
              <w:rPr>
                <w:rFonts w:ascii="Arial" w:eastAsia="Calibri" w:hAnsi="Arial" w:cs="Arial"/>
                <w:color w:val="0070C0"/>
                <w:lang w:val="en-US" w:eastAsia="en-GB"/>
              </w:rPr>
              <w:t>Clinisys</w:t>
            </w:r>
            <w:proofErr w:type="spellEnd"/>
            <w:r>
              <w:rPr>
                <w:rFonts w:ascii="Arial" w:eastAsia="Calibri" w:hAnsi="Arial" w:cs="Arial"/>
                <w:color w:val="0070C0"/>
                <w:lang w:val="en-US" w:eastAsia="en-GB"/>
              </w:rPr>
              <w:t xml:space="preserve"> </w:t>
            </w:r>
            <w:proofErr w:type="spellStart"/>
            <w:r>
              <w:rPr>
                <w:rFonts w:ascii="Arial" w:eastAsia="Calibri" w:hAnsi="Arial" w:cs="Arial"/>
                <w:color w:val="0070C0"/>
                <w:lang w:val="en-US" w:eastAsia="en-GB"/>
              </w:rPr>
              <w:t>Winpath</w:t>
            </w:r>
            <w:proofErr w:type="spellEnd"/>
            <w:r>
              <w:rPr>
                <w:rFonts w:ascii="Arial" w:eastAsia="Calibri" w:hAnsi="Arial" w:cs="Arial"/>
                <w:color w:val="0070C0"/>
                <w:lang w:val="en-US" w:eastAsia="en-GB"/>
              </w:rPr>
              <w:t xml:space="preserve"> Enterprise</w:t>
            </w:r>
          </w:p>
          <w:p w:rsidR="00276B9B" w:rsidRDefault="00276B9B" w:rsidP="00316529">
            <w:pPr>
              <w:spacing w:line="252" w:lineRule="auto"/>
              <w:rPr>
                <w:rFonts w:ascii="Arial" w:eastAsia="Calibri" w:hAnsi="Arial" w:cs="Arial"/>
                <w:color w:val="0070C0"/>
                <w:lang w:val="en-US" w:eastAsia="en-GB"/>
              </w:rPr>
            </w:pPr>
          </w:p>
          <w:p w:rsidR="00276B9B" w:rsidRDefault="00D930DC"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Total contract value £3.7m over 7 years, </w:t>
            </w:r>
          </w:p>
          <w:p w:rsidR="00D930DC" w:rsidRDefault="00D930DC" w:rsidP="00316529">
            <w:pPr>
              <w:spacing w:line="252" w:lineRule="auto"/>
              <w:rPr>
                <w:rFonts w:ascii="Arial" w:eastAsia="Calibri" w:hAnsi="Arial" w:cs="Arial"/>
                <w:color w:val="0070C0"/>
                <w:lang w:val="en-US" w:eastAsia="en-GB"/>
              </w:rPr>
            </w:pPr>
            <w:proofErr w:type="gramStart"/>
            <w:r>
              <w:rPr>
                <w:rFonts w:ascii="Arial" w:eastAsia="Calibri" w:hAnsi="Arial" w:cs="Arial"/>
                <w:color w:val="0070C0"/>
                <w:lang w:val="en-US" w:eastAsia="en-GB"/>
              </w:rPr>
              <w:t>expiring</w:t>
            </w:r>
            <w:proofErr w:type="gramEnd"/>
            <w:r>
              <w:rPr>
                <w:rFonts w:ascii="Arial" w:eastAsia="Calibri" w:hAnsi="Arial" w:cs="Arial"/>
                <w:color w:val="0070C0"/>
                <w:lang w:val="en-US" w:eastAsia="en-GB"/>
              </w:rPr>
              <w:t xml:space="preserve"> 2023.</w:t>
            </w:r>
          </w:p>
          <w:p w:rsidR="00276B9B" w:rsidRDefault="00276B9B" w:rsidP="00316529">
            <w:pPr>
              <w:spacing w:line="252" w:lineRule="auto"/>
              <w:rPr>
                <w:rFonts w:ascii="Arial" w:eastAsia="Calibri" w:hAnsi="Arial" w:cs="Arial"/>
                <w:color w:val="0070C0"/>
                <w:lang w:val="en-US" w:eastAsia="en-GB"/>
              </w:rPr>
            </w:pPr>
          </w:p>
          <w:p w:rsidR="00D930DC" w:rsidRDefault="00D930DC"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w:t>
            </w:r>
            <w:bookmarkStart w:id="1" w:name="_GoBack"/>
            <w:bookmarkEnd w:id="1"/>
            <w:r>
              <w:rPr>
                <w:rFonts w:ascii="Arial" w:eastAsia="Calibri" w:hAnsi="Arial" w:cs="Arial"/>
                <w:color w:val="0070C0"/>
                <w:lang w:val="en-US" w:eastAsia="en-GB"/>
              </w:rPr>
              <w:t>296k per annum</w:t>
            </w: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3C6" w:rsidRDefault="00B673C6" w:rsidP="0033551A">
      <w:pPr>
        <w:spacing w:after="0" w:line="240" w:lineRule="auto"/>
      </w:pPr>
      <w:r>
        <w:separator/>
      </w:r>
    </w:p>
  </w:endnote>
  <w:endnote w:type="continuationSeparator" w:id="0">
    <w:p w:rsidR="00B673C6" w:rsidRDefault="00B673C6"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3C6" w:rsidRDefault="00B673C6" w:rsidP="0033551A">
      <w:pPr>
        <w:spacing w:after="0" w:line="240" w:lineRule="auto"/>
      </w:pPr>
      <w:r>
        <w:separator/>
      </w:r>
    </w:p>
  </w:footnote>
  <w:footnote w:type="continuationSeparator" w:id="0">
    <w:p w:rsidR="00B673C6" w:rsidRDefault="00B673C6"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06F7E01"/>
    <w:multiLevelType w:val="hybridMultilevel"/>
    <w:tmpl w:val="3148086E"/>
    <w:lvl w:ilvl="0" w:tplc="935CD2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1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1A"/>
    <w:rsid w:val="00020CF0"/>
    <w:rsid w:val="000301C4"/>
    <w:rsid w:val="000807D5"/>
    <w:rsid w:val="000A66CF"/>
    <w:rsid w:val="000B1EBE"/>
    <w:rsid w:val="00156725"/>
    <w:rsid w:val="001E10CD"/>
    <w:rsid w:val="001E465E"/>
    <w:rsid w:val="00237B1C"/>
    <w:rsid w:val="002651EE"/>
    <w:rsid w:val="00276B9B"/>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3AE8"/>
    <w:rsid w:val="00547C6C"/>
    <w:rsid w:val="0059095F"/>
    <w:rsid w:val="005A01F8"/>
    <w:rsid w:val="005A3B76"/>
    <w:rsid w:val="005A71C1"/>
    <w:rsid w:val="005B3F1E"/>
    <w:rsid w:val="005D64C5"/>
    <w:rsid w:val="00616438"/>
    <w:rsid w:val="0064633A"/>
    <w:rsid w:val="00686130"/>
    <w:rsid w:val="006974B9"/>
    <w:rsid w:val="006C4C0C"/>
    <w:rsid w:val="006E4DEA"/>
    <w:rsid w:val="00711ACC"/>
    <w:rsid w:val="007E2F6A"/>
    <w:rsid w:val="007E5D80"/>
    <w:rsid w:val="00877D9C"/>
    <w:rsid w:val="00880170"/>
    <w:rsid w:val="0092478A"/>
    <w:rsid w:val="00937110"/>
    <w:rsid w:val="0094299E"/>
    <w:rsid w:val="009529EC"/>
    <w:rsid w:val="00957B65"/>
    <w:rsid w:val="009D4EB5"/>
    <w:rsid w:val="00A24930"/>
    <w:rsid w:val="00A5218A"/>
    <w:rsid w:val="00AB100E"/>
    <w:rsid w:val="00AD729D"/>
    <w:rsid w:val="00B21EE9"/>
    <w:rsid w:val="00B46636"/>
    <w:rsid w:val="00B673C6"/>
    <w:rsid w:val="00BE2769"/>
    <w:rsid w:val="00C41C65"/>
    <w:rsid w:val="00C830A2"/>
    <w:rsid w:val="00C97915"/>
    <w:rsid w:val="00CA1233"/>
    <w:rsid w:val="00CF2C29"/>
    <w:rsid w:val="00D87C3B"/>
    <w:rsid w:val="00D930DC"/>
    <w:rsid w:val="00DC04F2"/>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2EA966"/>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00223118">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422072348">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49678859">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099810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Stowe Derek, IG Assurance and Security Manager</cp:lastModifiedBy>
  <cp:revision>2</cp:revision>
  <dcterms:created xsi:type="dcterms:W3CDTF">2021-11-30T10:20:00Z</dcterms:created>
  <dcterms:modified xsi:type="dcterms:W3CDTF">2021-11-30T10:20:00Z</dcterms:modified>
</cp:coreProperties>
</file>