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bookmarkStart w:id="0" w:name="_GoBack"/>
      <w:bookmarkEnd w:id="0"/>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7D23F7">
        <w:rPr>
          <w:rFonts w:ascii="Arial" w:eastAsia="Calibri" w:hAnsi="Arial" w:cs="Arial"/>
          <w:b/>
          <w:sz w:val="24"/>
          <w:szCs w:val="24"/>
        </w:rPr>
        <w:t>6311</w:t>
      </w:r>
    </w:p>
    <w:p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7D23F7">
        <w:rPr>
          <w:rFonts w:ascii="Arial" w:eastAsia="Calibri" w:hAnsi="Arial" w:cs="Arial"/>
          <w:b/>
          <w:sz w:val="24"/>
          <w:szCs w:val="24"/>
        </w:rPr>
        <w:t>Clinical – Service Activity</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7D23F7">
        <w:rPr>
          <w:rFonts w:ascii="Arial" w:eastAsia="Calibri" w:hAnsi="Arial" w:cs="Arial"/>
          <w:b/>
          <w:sz w:val="24"/>
          <w:szCs w:val="24"/>
        </w:rPr>
        <w:t>Admissions</w:t>
      </w:r>
    </w:p>
    <w:p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7D23F7">
        <w:rPr>
          <w:rFonts w:ascii="Arial" w:eastAsia="Calibri" w:hAnsi="Arial" w:cs="Arial"/>
          <w:b/>
          <w:sz w:val="24"/>
          <w:szCs w:val="24"/>
        </w:rPr>
        <w:t>28/03/2022</w:t>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1"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490E72" w:rsidRPr="00D87C3B" w:rsidTr="00C068C9">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490E72" w:rsidRPr="00490E72" w:rsidRDefault="00490E72" w:rsidP="00490E72">
            <w:pPr>
              <w:jc w:val="both"/>
              <w:rPr>
                <w:rFonts w:ascii="Arial" w:hAnsi="Arial" w:cs="Arial"/>
                <w:lang w:val="en-US"/>
              </w:rPr>
            </w:pPr>
            <w:r w:rsidRPr="00490E72">
              <w:rPr>
                <w:rFonts w:ascii="Arial" w:hAnsi="Arial" w:cs="Arial"/>
                <w:lang w:val="en-US"/>
              </w:rPr>
              <w:t xml:space="preserve">Under the FOI act please can you share for the period </w:t>
            </w:r>
            <w:r w:rsidRPr="00490E72">
              <w:rPr>
                <w:rFonts w:ascii="Arial" w:hAnsi="Arial" w:cs="Arial"/>
                <w:b/>
                <w:bCs/>
                <w:lang w:val="en-US"/>
              </w:rPr>
              <w:t>March 2021 to Feb 2022</w:t>
            </w:r>
            <w:r w:rsidRPr="00490E72">
              <w:rPr>
                <w:rFonts w:ascii="Arial" w:hAnsi="Arial" w:cs="Arial"/>
                <w:lang w:val="en-US"/>
              </w:rPr>
              <w:t>:</w:t>
            </w:r>
          </w:p>
          <w:p w:rsidR="00490E72" w:rsidRPr="00490E72" w:rsidRDefault="00490E72" w:rsidP="00490E72">
            <w:pPr>
              <w:spacing w:line="252" w:lineRule="auto"/>
              <w:jc w:val="both"/>
              <w:rPr>
                <w:rFonts w:ascii="Arial" w:eastAsia="Calibri" w:hAnsi="Arial" w:cs="Arial"/>
                <w:color w:val="0070C0"/>
                <w:sz w:val="24"/>
                <w:lang w:val="en-US" w:eastAsia="en-GB"/>
              </w:rPr>
            </w:pPr>
          </w:p>
        </w:tc>
      </w:tr>
      <w:tr w:rsidR="00490E72"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490E72" w:rsidRPr="00490E72" w:rsidRDefault="00490E72" w:rsidP="00490E72">
            <w:pPr>
              <w:jc w:val="both"/>
              <w:rPr>
                <w:rFonts w:ascii="Arial" w:hAnsi="Arial" w:cs="Arial"/>
                <w:lang w:val="en-US"/>
              </w:rPr>
            </w:pPr>
            <w:r w:rsidRPr="00490E72">
              <w:rPr>
                <w:rFonts w:ascii="Arial" w:hAnsi="Arial" w:cs="Arial"/>
                <w:lang w:val="en-US"/>
              </w:rPr>
              <w:t>1a. The total number of admissions</w:t>
            </w:r>
          </w:p>
          <w:p w:rsidR="00490E72" w:rsidRPr="00490E72" w:rsidRDefault="00490E72" w:rsidP="00490E72">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490E72" w:rsidRPr="00490E72" w:rsidRDefault="003B4563" w:rsidP="00490E72">
            <w:pPr>
              <w:spacing w:line="252" w:lineRule="auto"/>
              <w:jc w:val="both"/>
              <w:rPr>
                <w:rFonts w:ascii="Arial" w:eastAsia="Calibri" w:hAnsi="Arial" w:cs="Arial"/>
                <w:color w:val="0070C0"/>
                <w:sz w:val="24"/>
                <w:lang w:val="en-US" w:eastAsia="en-GB"/>
              </w:rPr>
            </w:pPr>
            <w:r>
              <w:rPr>
                <w:rFonts w:ascii="Arial" w:eastAsia="Calibri" w:hAnsi="Arial" w:cs="Arial"/>
                <w:color w:val="0070C0"/>
                <w:sz w:val="24"/>
                <w:lang w:val="en-US" w:eastAsia="en-GB"/>
              </w:rPr>
              <w:t>35,367 Non-Elective Admissions</w:t>
            </w:r>
          </w:p>
        </w:tc>
      </w:tr>
      <w:tr w:rsidR="00490E72"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490E72" w:rsidRPr="00490E72" w:rsidRDefault="00490E72" w:rsidP="00A4074A">
            <w:pPr>
              <w:ind w:left="426" w:hanging="426"/>
              <w:jc w:val="both"/>
              <w:rPr>
                <w:rFonts w:ascii="Arial" w:hAnsi="Arial" w:cs="Arial"/>
                <w:lang w:val="en-US"/>
              </w:rPr>
            </w:pPr>
            <w:r w:rsidRPr="00490E72">
              <w:rPr>
                <w:rFonts w:ascii="Arial" w:hAnsi="Arial" w:cs="Arial"/>
                <w:lang w:val="en-US"/>
              </w:rPr>
              <w:t>1b. The total number of admissions with ICD10 codes</w:t>
            </w:r>
            <w:r w:rsidR="00A4074A">
              <w:rPr>
                <w:rFonts w:ascii="Arial" w:hAnsi="Arial" w:cs="Arial"/>
                <w:lang w:val="en-US"/>
              </w:rPr>
              <w:t xml:space="preserve"> </w:t>
            </w:r>
            <w:r w:rsidRPr="00490E72">
              <w:rPr>
                <w:rFonts w:ascii="Arial" w:hAnsi="Arial" w:cs="Arial"/>
                <w:lang w:val="en-US"/>
              </w:rPr>
              <w:t xml:space="preserve">U07.1 or U07.2 as the primary diagnosis in the First FCE, </w:t>
            </w:r>
          </w:p>
          <w:p w:rsidR="00490E72" w:rsidRPr="00490E72" w:rsidRDefault="00490E72" w:rsidP="00490E72">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490E72" w:rsidRPr="00490E72" w:rsidRDefault="003B4563" w:rsidP="00490E72">
            <w:pPr>
              <w:spacing w:line="252" w:lineRule="auto"/>
              <w:jc w:val="both"/>
              <w:rPr>
                <w:rFonts w:ascii="Arial" w:eastAsia="Calibri" w:hAnsi="Arial" w:cs="Arial"/>
                <w:color w:val="0070C0"/>
                <w:sz w:val="24"/>
                <w:lang w:val="en-US" w:eastAsia="en-GB"/>
              </w:rPr>
            </w:pPr>
            <w:r>
              <w:rPr>
                <w:rFonts w:ascii="Arial" w:eastAsia="Calibri" w:hAnsi="Arial" w:cs="Arial"/>
                <w:color w:val="0070C0"/>
                <w:sz w:val="24"/>
                <w:lang w:val="en-US" w:eastAsia="en-GB"/>
              </w:rPr>
              <w:t>867 NE Admissions</w:t>
            </w:r>
          </w:p>
        </w:tc>
      </w:tr>
      <w:tr w:rsidR="00490E72"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490E72" w:rsidRPr="00490E72" w:rsidRDefault="00490E72" w:rsidP="00A4074A">
            <w:pPr>
              <w:ind w:left="426" w:hanging="426"/>
              <w:jc w:val="both"/>
              <w:rPr>
                <w:rFonts w:ascii="Arial" w:hAnsi="Arial" w:cs="Arial"/>
                <w:lang w:val="en-US"/>
              </w:rPr>
            </w:pPr>
            <w:r w:rsidRPr="00490E72">
              <w:rPr>
                <w:rFonts w:ascii="Arial" w:hAnsi="Arial" w:cs="Arial"/>
                <w:lang w:val="en-US"/>
              </w:rPr>
              <w:t>1c.</w:t>
            </w:r>
            <w:r>
              <w:rPr>
                <w:rFonts w:ascii="Arial" w:hAnsi="Arial" w:cs="Arial"/>
                <w:lang w:val="en-US"/>
              </w:rPr>
              <w:t xml:space="preserve"> </w:t>
            </w:r>
            <w:r w:rsidRPr="00490E72">
              <w:rPr>
                <w:rFonts w:ascii="Arial" w:hAnsi="Arial" w:cs="Arial"/>
                <w:lang w:val="en-US"/>
              </w:rPr>
              <w:t>The total number of admissions with a sign or symptom in the First FCE and with ICD10 codes U07.1 or U07.2 as the primary diagnosis in the second FCE.</w:t>
            </w:r>
          </w:p>
          <w:p w:rsidR="00490E72" w:rsidRPr="00490E72" w:rsidRDefault="00490E72" w:rsidP="00490E72">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490E72" w:rsidRPr="00490E72" w:rsidRDefault="00E77D64" w:rsidP="00490E72">
            <w:pPr>
              <w:spacing w:line="252" w:lineRule="auto"/>
              <w:jc w:val="both"/>
              <w:rPr>
                <w:rFonts w:ascii="Arial" w:eastAsia="Calibri" w:hAnsi="Arial" w:cs="Arial"/>
                <w:color w:val="0070C0"/>
                <w:sz w:val="24"/>
                <w:lang w:val="en-US" w:eastAsia="en-GB"/>
              </w:rPr>
            </w:pPr>
            <w:r>
              <w:rPr>
                <w:rFonts w:ascii="Arial" w:eastAsia="Calibri" w:hAnsi="Arial" w:cs="Arial"/>
                <w:color w:val="0070C0"/>
                <w:sz w:val="24"/>
                <w:lang w:val="en-US" w:eastAsia="en-GB"/>
              </w:rPr>
              <w:t>0</w:t>
            </w:r>
          </w:p>
        </w:tc>
      </w:tr>
      <w:tr w:rsidR="00490E72"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490E72" w:rsidRPr="00490E72" w:rsidRDefault="00490E72" w:rsidP="00A4074A">
            <w:pPr>
              <w:ind w:left="426" w:hanging="426"/>
              <w:jc w:val="both"/>
              <w:rPr>
                <w:rFonts w:ascii="Arial" w:hAnsi="Arial" w:cs="Arial"/>
                <w:lang w:val="en-US"/>
              </w:rPr>
            </w:pPr>
            <w:r w:rsidRPr="00490E72">
              <w:rPr>
                <w:rFonts w:ascii="Arial" w:hAnsi="Arial" w:cs="Arial"/>
                <w:lang w:val="en-US"/>
              </w:rPr>
              <w:t>2a.</w:t>
            </w:r>
            <w:r>
              <w:rPr>
                <w:rFonts w:ascii="Arial" w:hAnsi="Arial" w:cs="Arial"/>
                <w:lang w:val="en-US"/>
              </w:rPr>
              <w:t xml:space="preserve"> </w:t>
            </w:r>
            <w:r w:rsidRPr="00490E72">
              <w:rPr>
                <w:rFonts w:ascii="Arial" w:hAnsi="Arial" w:cs="Arial"/>
                <w:lang w:val="en-US"/>
              </w:rPr>
              <w:t>The number of admissions coded with ICD10 code Z51.5 – specialist palliative care in a secondary position with a narrative explanation of the following:</w:t>
            </w:r>
          </w:p>
          <w:p w:rsidR="00490E72" w:rsidRPr="00490E72" w:rsidRDefault="00490E72" w:rsidP="00490E72">
            <w:pPr>
              <w:jc w:val="both"/>
              <w:rPr>
                <w:rFonts w:ascii="Arial" w:hAnsi="Arial" w:cs="Arial"/>
              </w:rPr>
            </w:pPr>
          </w:p>
        </w:tc>
        <w:tc>
          <w:tcPr>
            <w:tcW w:w="5219" w:type="dxa"/>
            <w:tcBorders>
              <w:top w:val="single" w:sz="4" w:space="0" w:color="auto"/>
              <w:left w:val="single" w:sz="4" w:space="0" w:color="auto"/>
              <w:right w:val="single" w:sz="4" w:space="0" w:color="auto"/>
            </w:tcBorders>
          </w:tcPr>
          <w:p w:rsidR="00490E72" w:rsidRPr="00490E72" w:rsidRDefault="003B4563" w:rsidP="00490E72">
            <w:pPr>
              <w:spacing w:line="252" w:lineRule="auto"/>
              <w:jc w:val="both"/>
              <w:rPr>
                <w:rFonts w:ascii="Arial" w:eastAsia="Calibri" w:hAnsi="Arial" w:cs="Arial"/>
                <w:color w:val="0070C0"/>
                <w:sz w:val="24"/>
                <w:lang w:val="en-US" w:eastAsia="en-GB"/>
              </w:rPr>
            </w:pPr>
            <w:r>
              <w:rPr>
                <w:rFonts w:ascii="Arial" w:eastAsia="Calibri" w:hAnsi="Arial" w:cs="Arial"/>
                <w:color w:val="0070C0"/>
                <w:sz w:val="24"/>
                <w:lang w:val="en-US" w:eastAsia="en-GB"/>
              </w:rPr>
              <w:t>32 in a secondary diagnosis position</w: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545DA" w:rsidRDefault="00490E72" w:rsidP="00F60E21">
            <w:pPr>
              <w:ind w:left="426" w:hanging="426"/>
              <w:jc w:val="both"/>
              <w:rPr>
                <w:rFonts w:ascii="Arial" w:hAnsi="Arial" w:cs="Arial"/>
                <w:lang w:val="en-US"/>
              </w:rPr>
            </w:pPr>
            <w:r w:rsidRPr="00490E72">
              <w:rPr>
                <w:rFonts w:ascii="Arial" w:hAnsi="Arial" w:cs="Arial"/>
                <w:lang w:val="en-US"/>
              </w:rPr>
              <w:t>2b.</w:t>
            </w:r>
            <w:r w:rsidR="00F60E21">
              <w:rPr>
                <w:rFonts w:ascii="Arial" w:hAnsi="Arial" w:cs="Arial"/>
                <w:lang w:val="en-US"/>
              </w:rPr>
              <w:t xml:space="preserve"> </w:t>
            </w:r>
            <w:r w:rsidRPr="00490E72">
              <w:rPr>
                <w:rFonts w:ascii="Arial" w:hAnsi="Arial" w:cs="Arial"/>
                <w:lang w:val="en-US"/>
              </w:rPr>
              <w:t>Which job roles are identified (for coding</w:t>
            </w:r>
            <w:r>
              <w:rPr>
                <w:rFonts w:ascii="Arial" w:hAnsi="Arial" w:cs="Arial"/>
                <w:lang w:val="en-US"/>
              </w:rPr>
              <w:t xml:space="preserve"> </w:t>
            </w:r>
            <w:r w:rsidRPr="00490E72">
              <w:rPr>
                <w:rFonts w:ascii="Arial" w:hAnsi="Arial" w:cs="Arial"/>
                <w:lang w:val="en-US"/>
              </w:rPr>
              <w:t>purposes of being able to code Z51.5) as being able to deliver specialist palliative care or give specialist palliative care support or advice? Please use actual role titles, not just ‘palliative care team’</w:t>
            </w:r>
          </w:p>
          <w:p w:rsidR="00490E72" w:rsidRPr="00490E72" w:rsidRDefault="00490E72" w:rsidP="00490E72">
            <w:pPr>
              <w:ind w:left="720" w:hanging="720"/>
              <w:jc w:val="both"/>
              <w:rPr>
                <w:rFonts w:ascii="Arial" w:hAnsi="Arial" w:cs="Arial"/>
                <w:lang w:val="en-US"/>
              </w:rPr>
            </w:pPr>
          </w:p>
        </w:tc>
        <w:tc>
          <w:tcPr>
            <w:tcW w:w="5219" w:type="dxa"/>
            <w:tcBorders>
              <w:top w:val="single" w:sz="4" w:space="0" w:color="auto"/>
              <w:left w:val="single" w:sz="4" w:space="0" w:color="auto"/>
              <w:right w:val="single" w:sz="4" w:space="0" w:color="auto"/>
            </w:tcBorders>
          </w:tcPr>
          <w:p w:rsidR="005545DA" w:rsidRDefault="00DA7F1E" w:rsidP="00490E72">
            <w:pPr>
              <w:spacing w:line="252" w:lineRule="auto"/>
              <w:jc w:val="both"/>
              <w:rPr>
                <w:rFonts w:ascii="Arial" w:eastAsia="Calibri" w:hAnsi="Arial" w:cs="Arial"/>
                <w:color w:val="0070C0"/>
                <w:sz w:val="24"/>
                <w:lang w:val="en-US" w:eastAsia="en-GB"/>
              </w:rPr>
            </w:pPr>
            <w:r>
              <w:rPr>
                <w:rFonts w:ascii="Arial" w:eastAsia="Calibri" w:hAnsi="Arial" w:cs="Arial"/>
                <w:color w:val="0070C0"/>
                <w:sz w:val="24"/>
                <w:lang w:val="en-US" w:eastAsia="en-GB"/>
              </w:rPr>
              <w:t>Consultant in Palliative Medicine</w:t>
            </w:r>
          </w:p>
          <w:p w:rsidR="00DA7F1E" w:rsidRDefault="00DA7F1E" w:rsidP="00490E72">
            <w:pPr>
              <w:spacing w:line="252" w:lineRule="auto"/>
              <w:jc w:val="both"/>
              <w:rPr>
                <w:rFonts w:ascii="Arial" w:eastAsia="Calibri" w:hAnsi="Arial" w:cs="Arial"/>
                <w:color w:val="0070C0"/>
                <w:sz w:val="24"/>
                <w:lang w:val="en-US" w:eastAsia="en-GB"/>
              </w:rPr>
            </w:pPr>
            <w:r>
              <w:rPr>
                <w:rFonts w:ascii="Arial" w:eastAsia="Calibri" w:hAnsi="Arial" w:cs="Arial"/>
                <w:color w:val="0070C0"/>
                <w:sz w:val="24"/>
                <w:lang w:val="en-US" w:eastAsia="en-GB"/>
              </w:rPr>
              <w:t>Clinical Nurse Specialists</w:t>
            </w:r>
          </w:p>
          <w:p w:rsidR="00DA7F1E" w:rsidRPr="00490E72" w:rsidRDefault="00DA7F1E" w:rsidP="00490E72">
            <w:pPr>
              <w:spacing w:line="252" w:lineRule="auto"/>
              <w:jc w:val="both"/>
              <w:rPr>
                <w:rFonts w:ascii="Arial" w:eastAsia="Calibri" w:hAnsi="Arial" w:cs="Arial"/>
                <w:color w:val="0070C0"/>
                <w:sz w:val="24"/>
                <w:lang w:val="en-US" w:eastAsia="en-GB"/>
              </w:rPr>
            </w:pPr>
            <w:r>
              <w:rPr>
                <w:rFonts w:ascii="Arial" w:eastAsia="Calibri" w:hAnsi="Arial" w:cs="Arial"/>
                <w:color w:val="0070C0"/>
                <w:sz w:val="24"/>
                <w:lang w:val="en-US" w:eastAsia="en-GB"/>
              </w:rPr>
              <w:t>Clinical Co-</w:t>
            </w:r>
            <w:proofErr w:type="spellStart"/>
            <w:r>
              <w:rPr>
                <w:rFonts w:ascii="Arial" w:eastAsia="Calibri" w:hAnsi="Arial" w:cs="Arial"/>
                <w:color w:val="0070C0"/>
                <w:sz w:val="24"/>
                <w:lang w:val="en-US" w:eastAsia="en-GB"/>
              </w:rPr>
              <w:t>ordinator</w:t>
            </w:r>
            <w:proofErr w:type="spellEnd"/>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490E72" w:rsidRPr="00490E72" w:rsidRDefault="00490E72" w:rsidP="00A4074A">
            <w:pPr>
              <w:ind w:left="426" w:hanging="426"/>
              <w:jc w:val="both"/>
              <w:rPr>
                <w:rFonts w:ascii="Arial" w:hAnsi="Arial" w:cs="Arial"/>
                <w:lang w:val="en-US"/>
              </w:rPr>
            </w:pPr>
            <w:r w:rsidRPr="00490E72">
              <w:rPr>
                <w:rFonts w:ascii="Arial" w:hAnsi="Arial" w:cs="Arial"/>
                <w:lang w:val="en-US"/>
              </w:rPr>
              <w:t>2c.</w:t>
            </w:r>
            <w:r>
              <w:rPr>
                <w:rFonts w:ascii="Arial" w:hAnsi="Arial" w:cs="Arial"/>
                <w:lang w:val="en-US"/>
              </w:rPr>
              <w:t xml:space="preserve"> </w:t>
            </w:r>
            <w:r w:rsidRPr="00490E72">
              <w:rPr>
                <w:rFonts w:ascii="Arial" w:hAnsi="Arial" w:cs="Arial"/>
                <w:lang w:val="en-US"/>
              </w:rPr>
              <w:t>What sources of information are used to confirm a patient has received specialist palliative care? Please include all paper and electronic sources including lists that have been compiled from other departments where applicable i.e. a list of patients seen by the specialist palliative care team.</w:t>
            </w:r>
          </w:p>
          <w:p w:rsidR="005545DA" w:rsidRPr="00490E72" w:rsidRDefault="005545DA" w:rsidP="00490E72">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5545DA" w:rsidRPr="00490E72" w:rsidRDefault="0088111F" w:rsidP="00490E72">
            <w:pPr>
              <w:spacing w:line="252" w:lineRule="auto"/>
              <w:jc w:val="both"/>
              <w:rPr>
                <w:rFonts w:ascii="Arial" w:eastAsia="Calibri" w:hAnsi="Arial" w:cs="Arial"/>
                <w:color w:val="0070C0"/>
                <w:sz w:val="24"/>
                <w:lang w:val="en-US" w:eastAsia="en-GB"/>
              </w:rPr>
            </w:pPr>
            <w:r w:rsidRPr="00530B09">
              <w:rPr>
                <w:rFonts w:ascii="Arial" w:eastAsia="Calibri" w:hAnsi="Arial" w:cs="Arial"/>
                <w:color w:val="0070C0"/>
                <w:sz w:val="24"/>
                <w:lang w:val="en-US" w:eastAsia="en-GB"/>
              </w:rPr>
              <w:t>Specialist palliative care is recorded on the Palliative Care Review document in Meditech.</w: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490E72" w:rsidRPr="00490E72" w:rsidRDefault="00490E72" w:rsidP="00A4074A">
            <w:pPr>
              <w:ind w:left="426" w:hanging="426"/>
              <w:jc w:val="both"/>
              <w:rPr>
                <w:rFonts w:ascii="Arial" w:hAnsi="Arial" w:cs="Arial"/>
                <w:lang w:val="en-US"/>
              </w:rPr>
            </w:pPr>
            <w:r w:rsidRPr="00490E72">
              <w:rPr>
                <w:rFonts w:ascii="Arial" w:hAnsi="Arial" w:cs="Arial"/>
                <w:lang w:val="en-US"/>
              </w:rPr>
              <w:t>2d</w:t>
            </w:r>
            <w:r>
              <w:rPr>
                <w:rFonts w:ascii="Arial" w:hAnsi="Arial" w:cs="Arial"/>
                <w:lang w:val="en-US"/>
              </w:rPr>
              <w:t xml:space="preserve">. </w:t>
            </w:r>
            <w:r w:rsidRPr="00490E72">
              <w:rPr>
                <w:rFonts w:ascii="Arial" w:hAnsi="Arial" w:cs="Arial"/>
                <w:lang w:val="en-US"/>
              </w:rPr>
              <w:t>What types of contact do you code? Please include direct contact either in person or by telephone or indirect contact such as receiving clinician to clinician advice or nurse to nurse advice.</w:t>
            </w:r>
          </w:p>
          <w:p w:rsidR="005545DA" w:rsidRPr="00490E72" w:rsidRDefault="005545DA" w:rsidP="00490E72">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5545DA" w:rsidRPr="00490E72" w:rsidRDefault="00DA7F1E" w:rsidP="00490E72">
            <w:pPr>
              <w:spacing w:line="252" w:lineRule="auto"/>
              <w:jc w:val="both"/>
              <w:rPr>
                <w:rFonts w:ascii="Arial" w:eastAsia="Calibri" w:hAnsi="Arial" w:cs="Arial"/>
                <w:color w:val="0070C0"/>
                <w:sz w:val="24"/>
                <w:lang w:val="en-US" w:eastAsia="en-GB"/>
              </w:rPr>
            </w:pPr>
            <w:r>
              <w:rPr>
                <w:rFonts w:ascii="Arial" w:eastAsia="Calibri" w:hAnsi="Arial" w:cs="Arial"/>
                <w:color w:val="0070C0"/>
                <w:sz w:val="24"/>
                <w:lang w:val="en-US" w:eastAsia="en-GB"/>
              </w:rPr>
              <w:t>Telephone and face to face contact.</w: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490E72" w:rsidRPr="00490E72" w:rsidRDefault="00490E72" w:rsidP="00A4074A">
            <w:pPr>
              <w:ind w:left="426" w:hanging="437"/>
              <w:jc w:val="both"/>
              <w:rPr>
                <w:rFonts w:ascii="Arial" w:hAnsi="Arial" w:cs="Arial"/>
                <w:lang w:val="en-US"/>
              </w:rPr>
            </w:pPr>
            <w:r w:rsidRPr="00490E72">
              <w:rPr>
                <w:rFonts w:ascii="Arial" w:hAnsi="Arial" w:cs="Arial"/>
                <w:lang w:val="en-US"/>
              </w:rPr>
              <w:t>2e. Do you use any generic care records (paper or electronic) which by default if they are in use indicates specialist palliative care support can be coded?  Please supply the name of the document such as ‘end of life care plan’ or ‘palliative care proforma’ or any other document electronic or paper.</w:t>
            </w:r>
          </w:p>
          <w:p w:rsidR="005545DA" w:rsidRPr="00490E72" w:rsidRDefault="005545DA" w:rsidP="00490E72">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5545DA" w:rsidRPr="00490E72" w:rsidRDefault="00DA7F1E" w:rsidP="00490E72">
            <w:pPr>
              <w:spacing w:line="252" w:lineRule="auto"/>
              <w:jc w:val="both"/>
              <w:rPr>
                <w:rFonts w:ascii="Arial" w:eastAsia="Calibri" w:hAnsi="Arial" w:cs="Arial"/>
                <w:color w:val="0070C0"/>
                <w:sz w:val="24"/>
                <w:lang w:val="en-US" w:eastAsia="en-GB"/>
              </w:rPr>
            </w:pPr>
            <w:r>
              <w:rPr>
                <w:rFonts w:ascii="Arial" w:eastAsia="Calibri" w:hAnsi="Arial" w:cs="Arial"/>
                <w:color w:val="0070C0"/>
                <w:sz w:val="24"/>
                <w:lang w:val="en-US" w:eastAsia="en-GB"/>
              </w:rPr>
              <w:t>Last days of life care plan.</w: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490E72" w:rsidRPr="00490E72" w:rsidRDefault="00490E72" w:rsidP="00A4074A">
            <w:pPr>
              <w:ind w:left="426" w:hanging="426"/>
              <w:jc w:val="both"/>
              <w:rPr>
                <w:rFonts w:ascii="Arial" w:hAnsi="Arial" w:cs="Arial"/>
                <w:lang w:val="en-US"/>
              </w:rPr>
            </w:pPr>
            <w:r w:rsidRPr="00490E72">
              <w:rPr>
                <w:rFonts w:ascii="Arial" w:hAnsi="Arial" w:cs="Arial"/>
                <w:lang w:val="en-US"/>
              </w:rPr>
              <w:lastRenderedPageBreak/>
              <w:t xml:space="preserve">3a. The number of admissions coded with ICD10 code Z51.8 – non specialist palliative care in a secondary position with a narrative explanation of the following: </w:t>
            </w:r>
          </w:p>
          <w:p w:rsidR="005545DA" w:rsidRPr="00490E72" w:rsidRDefault="005545DA" w:rsidP="00490E72">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5545DA" w:rsidRPr="00490E72" w:rsidRDefault="003B4563" w:rsidP="00490E72">
            <w:pPr>
              <w:spacing w:line="252" w:lineRule="auto"/>
              <w:jc w:val="both"/>
              <w:rPr>
                <w:rFonts w:ascii="Arial" w:eastAsia="Calibri" w:hAnsi="Arial" w:cs="Arial"/>
                <w:color w:val="0070C0"/>
                <w:sz w:val="24"/>
                <w:lang w:val="en-US" w:eastAsia="en-GB"/>
              </w:rPr>
            </w:pPr>
            <w:r>
              <w:rPr>
                <w:rFonts w:ascii="Arial" w:eastAsia="Calibri" w:hAnsi="Arial" w:cs="Arial"/>
                <w:color w:val="0070C0"/>
                <w:sz w:val="24"/>
                <w:lang w:val="en-US" w:eastAsia="en-GB"/>
              </w:rPr>
              <w:t>5</w: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490E72" w:rsidRPr="00490E72" w:rsidRDefault="00490E72" w:rsidP="00F60E21">
            <w:pPr>
              <w:ind w:left="426" w:hanging="426"/>
              <w:jc w:val="both"/>
              <w:rPr>
                <w:rFonts w:ascii="Arial" w:hAnsi="Arial" w:cs="Arial"/>
                <w:lang w:val="en-US"/>
              </w:rPr>
            </w:pPr>
            <w:r w:rsidRPr="00490E72">
              <w:rPr>
                <w:rFonts w:ascii="Arial" w:hAnsi="Arial" w:cs="Arial"/>
                <w:lang w:val="en-US"/>
              </w:rPr>
              <w:t>3b.</w:t>
            </w:r>
            <w:r w:rsidR="00F60E21">
              <w:rPr>
                <w:rFonts w:ascii="Arial" w:hAnsi="Arial" w:cs="Arial"/>
                <w:lang w:val="en-US"/>
              </w:rPr>
              <w:t xml:space="preserve"> </w:t>
            </w:r>
            <w:r w:rsidRPr="00490E72">
              <w:rPr>
                <w:rFonts w:ascii="Arial" w:hAnsi="Arial" w:cs="Arial"/>
                <w:lang w:val="en-US"/>
              </w:rPr>
              <w:t>Which job roles are identified (for coding</w:t>
            </w:r>
            <w:r>
              <w:rPr>
                <w:rFonts w:ascii="Arial" w:hAnsi="Arial" w:cs="Arial"/>
                <w:lang w:val="en-US"/>
              </w:rPr>
              <w:t xml:space="preserve"> </w:t>
            </w:r>
            <w:r w:rsidRPr="00490E72">
              <w:rPr>
                <w:rFonts w:ascii="Arial" w:hAnsi="Arial" w:cs="Arial"/>
                <w:lang w:val="en-US"/>
              </w:rPr>
              <w:t>purposes of being able to code Z51.8) as</w:t>
            </w:r>
            <w:r>
              <w:rPr>
                <w:rFonts w:ascii="Arial" w:hAnsi="Arial" w:cs="Arial"/>
                <w:lang w:val="en-US"/>
              </w:rPr>
              <w:t xml:space="preserve"> </w:t>
            </w:r>
            <w:r w:rsidRPr="00490E72">
              <w:rPr>
                <w:rFonts w:ascii="Arial" w:hAnsi="Arial" w:cs="Arial"/>
                <w:lang w:val="en-US"/>
              </w:rPr>
              <w:t>being able to deliver non-specialist palliative</w:t>
            </w:r>
            <w:r>
              <w:rPr>
                <w:rFonts w:ascii="Arial" w:hAnsi="Arial" w:cs="Arial"/>
                <w:lang w:val="en-US"/>
              </w:rPr>
              <w:t xml:space="preserve"> </w:t>
            </w:r>
            <w:r w:rsidRPr="00490E72">
              <w:rPr>
                <w:rFonts w:ascii="Arial" w:hAnsi="Arial" w:cs="Arial"/>
                <w:lang w:val="en-US"/>
              </w:rPr>
              <w:t>care or give general palliative care support or</w:t>
            </w:r>
            <w:r>
              <w:rPr>
                <w:rFonts w:ascii="Arial" w:hAnsi="Arial" w:cs="Arial"/>
                <w:lang w:val="en-US"/>
              </w:rPr>
              <w:t xml:space="preserve"> </w:t>
            </w:r>
            <w:r w:rsidRPr="00490E72">
              <w:rPr>
                <w:rFonts w:ascii="Arial" w:hAnsi="Arial" w:cs="Arial"/>
                <w:lang w:val="en-US"/>
              </w:rPr>
              <w:t>advice? Please use actual role titles, not just</w:t>
            </w:r>
            <w:r>
              <w:rPr>
                <w:rFonts w:ascii="Arial" w:hAnsi="Arial" w:cs="Arial"/>
                <w:lang w:val="en-US"/>
              </w:rPr>
              <w:t xml:space="preserve"> </w:t>
            </w:r>
            <w:r w:rsidRPr="00490E72">
              <w:rPr>
                <w:rFonts w:ascii="Arial" w:hAnsi="Arial" w:cs="Arial"/>
                <w:lang w:val="en-US"/>
              </w:rPr>
              <w:t>‘end of life care team’</w:t>
            </w:r>
          </w:p>
        </w:tc>
        <w:tc>
          <w:tcPr>
            <w:tcW w:w="5219" w:type="dxa"/>
            <w:tcBorders>
              <w:top w:val="single" w:sz="4" w:space="0" w:color="auto"/>
              <w:left w:val="single" w:sz="4" w:space="0" w:color="auto"/>
              <w:right w:val="single" w:sz="4" w:space="0" w:color="auto"/>
            </w:tcBorders>
          </w:tcPr>
          <w:p w:rsidR="00DA7F1E" w:rsidRDefault="00DA7F1E" w:rsidP="00490E72">
            <w:pPr>
              <w:spacing w:line="252" w:lineRule="auto"/>
              <w:jc w:val="both"/>
              <w:rPr>
                <w:rFonts w:ascii="Arial" w:eastAsia="Calibri" w:hAnsi="Arial" w:cs="Arial"/>
                <w:color w:val="0070C0"/>
                <w:sz w:val="24"/>
                <w:lang w:val="en-US" w:eastAsia="en-GB"/>
              </w:rPr>
            </w:pPr>
            <w:r>
              <w:rPr>
                <w:rFonts w:ascii="Arial" w:eastAsia="Calibri" w:hAnsi="Arial" w:cs="Arial"/>
                <w:color w:val="0070C0"/>
                <w:sz w:val="24"/>
                <w:lang w:val="en-US" w:eastAsia="en-GB"/>
              </w:rPr>
              <w:t>Consultant in Palliative Medicine</w:t>
            </w:r>
          </w:p>
          <w:p w:rsidR="00DA7F1E" w:rsidRDefault="00DA7F1E" w:rsidP="00490E72">
            <w:pPr>
              <w:spacing w:line="252" w:lineRule="auto"/>
              <w:jc w:val="both"/>
              <w:rPr>
                <w:rFonts w:ascii="Arial" w:eastAsia="Calibri" w:hAnsi="Arial" w:cs="Arial"/>
                <w:color w:val="0070C0"/>
                <w:sz w:val="24"/>
                <w:lang w:val="en-US" w:eastAsia="en-GB"/>
              </w:rPr>
            </w:pPr>
            <w:r>
              <w:rPr>
                <w:rFonts w:ascii="Arial" w:eastAsia="Calibri" w:hAnsi="Arial" w:cs="Arial"/>
                <w:color w:val="0070C0"/>
                <w:sz w:val="24"/>
                <w:lang w:val="en-US" w:eastAsia="en-GB"/>
              </w:rPr>
              <w:t>Clinical Nurse Specialists</w:t>
            </w:r>
          </w:p>
          <w:p w:rsidR="00DA7F1E" w:rsidRDefault="00DA7F1E" w:rsidP="00490E72">
            <w:pPr>
              <w:spacing w:line="252" w:lineRule="auto"/>
              <w:jc w:val="both"/>
              <w:rPr>
                <w:rFonts w:ascii="Arial" w:eastAsia="Calibri" w:hAnsi="Arial" w:cs="Arial"/>
                <w:color w:val="0070C0"/>
                <w:sz w:val="24"/>
                <w:lang w:val="en-US" w:eastAsia="en-GB"/>
              </w:rPr>
            </w:pPr>
            <w:r>
              <w:rPr>
                <w:rFonts w:ascii="Arial" w:eastAsia="Calibri" w:hAnsi="Arial" w:cs="Arial"/>
                <w:color w:val="0070C0"/>
                <w:sz w:val="24"/>
                <w:lang w:val="en-US" w:eastAsia="en-GB"/>
              </w:rPr>
              <w:t>Clinical Co-</w:t>
            </w:r>
            <w:proofErr w:type="spellStart"/>
            <w:r>
              <w:rPr>
                <w:rFonts w:ascii="Arial" w:eastAsia="Calibri" w:hAnsi="Arial" w:cs="Arial"/>
                <w:color w:val="0070C0"/>
                <w:sz w:val="24"/>
                <w:lang w:val="en-US" w:eastAsia="en-GB"/>
              </w:rPr>
              <w:t>ordinator</w:t>
            </w:r>
            <w:proofErr w:type="spellEnd"/>
          </w:p>
          <w:p w:rsidR="00DA7F1E" w:rsidRDefault="00DA7F1E" w:rsidP="00490E72">
            <w:pPr>
              <w:spacing w:line="252" w:lineRule="auto"/>
              <w:jc w:val="both"/>
              <w:rPr>
                <w:rFonts w:ascii="Arial" w:eastAsia="Calibri" w:hAnsi="Arial" w:cs="Arial"/>
                <w:color w:val="0070C0"/>
                <w:sz w:val="24"/>
                <w:lang w:val="en-US" w:eastAsia="en-GB"/>
              </w:rPr>
            </w:pPr>
            <w:r>
              <w:rPr>
                <w:rFonts w:ascii="Arial" w:eastAsia="Calibri" w:hAnsi="Arial" w:cs="Arial"/>
                <w:color w:val="0070C0"/>
                <w:sz w:val="24"/>
                <w:lang w:val="en-US" w:eastAsia="en-GB"/>
              </w:rPr>
              <w:t>All nursing and medical staff in the Trust.</w:t>
            </w:r>
          </w:p>
          <w:p w:rsidR="00DA7F1E" w:rsidRPr="00490E72" w:rsidRDefault="00DA7F1E" w:rsidP="00490E72">
            <w:pPr>
              <w:spacing w:line="252" w:lineRule="auto"/>
              <w:jc w:val="both"/>
              <w:rPr>
                <w:rFonts w:ascii="Arial" w:eastAsia="Calibri" w:hAnsi="Arial" w:cs="Arial"/>
                <w:color w:val="0070C0"/>
                <w:sz w:val="24"/>
                <w:lang w:val="en-US" w:eastAsia="en-GB"/>
              </w:rPr>
            </w:pP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490E72" w:rsidRPr="00490E72" w:rsidRDefault="00490E72" w:rsidP="00A4074A">
            <w:pPr>
              <w:ind w:left="426" w:hanging="426"/>
              <w:jc w:val="both"/>
              <w:rPr>
                <w:rFonts w:ascii="Arial" w:hAnsi="Arial" w:cs="Arial"/>
                <w:lang w:val="en-US"/>
              </w:rPr>
            </w:pPr>
            <w:r w:rsidRPr="00490E72">
              <w:rPr>
                <w:rFonts w:ascii="Arial" w:hAnsi="Arial" w:cs="Arial"/>
                <w:lang w:val="en-US"/>
              </w:rPr>
              <w:t>3c. What sources of information are used to confirm a patient has received non-specialist palliative care? Please include all paper and electronic sources including lists that have been compiled from other departments where applicable i.e. a list of patients seen by the job roles identified in 3b.</w:t>
            </w:r>
          </w:p>
          <w:p w:rsidR="005545DA" w:rsidRPr="00490E72" w:rsidRDefault="005545DA" w:rsidP="00490E72">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5545DA" w:rsidRPr="00490E72" w:rsidRDefault="0088111F" w:rsidP="00490E72">
            <w:pPr>
              <w:spacing w:line="252" w:lineRule="auto"/>
              <w:jc w:val="both"/>
              <w:rPr>
                <w:rFonts w:ascii="Arial" w:eastAsia="Calibri" w:hAnsi="Arial" w:cs="Arial"/>
                <w:color w:val="0070C0"/>
                <w:sz w:val="24"/>
                <w:lang w:val="en-US" w:eastAsia="en-GB"/>
              </w:rPr>
            </w:pPr>
            <w:r w:rsidRPr="00530B09">
              <w:rPr>
                <w:rFonts w:ascii="Arial" w:eastAsia="Calibri" w:hAnsi="Arial" w:cs="Arial"/>
                <w:color w:val="0070C0"/>
                <w:sz w:val="24"/>
                <w:lang w:val="en-US" w:eastAsia="en-GB"/>
              </w:rPr>
              <w:t>Non-specialist palliative care is recorded on the Palliative Care Review document in Meditech.</w: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490E72" w:rsidRPr="00490E72" w:rsidRDefault="00490E72" w:rsidP="00A4074A">
            <w:pPr>
              <w:ind w:left="426" w:hanging="426"/>
              <w:jc w:val="both"/>
              <w:rPr>
                <w:rFonts w:ascii="Arial" w:hAnsi="Arial" w:cs="Arial"/>
                <w:lang w:val="en-US"/>
              </w:rPr>
            </w:pPr>
            <w:r w:rsidRPr="00490E72">
              <w:rPr>
                <w:rFonts w:ascii="Arial" w:hAnsi="Arial" w:cs="Arial"/>
                <w:lang w:val="en-US"/>
              </w:rPr>
              <w:t>3d. What types of contact do you code? Please include direct contact either in person or by telephone or indirect contact such as receiving clinician to clinician advice or nurse to nurse advice.</w:t>
            </w:r>
          </w:p>
          <w:p w:rsidR="005545DA" w:rsidRPr="00490E72" w:rsidRDefault="005545DA" w:rsidP="00490E72">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5545DA" w:rsidRPr="00490E72" w:rsidRDefault="00DA7F1E" w:rsidP="00490E72">
            <w:pPr>
              <w:spacing w:line="252" w:lineRule="auto"/>
              <w:jc w:val="both"/>
              <w:rPr>
                <w:rFonts w:ascii="Arial" w:eastAsia="Calibri" w:hAnsi="Arial" w:cs="Arial"/>
                <w:color w:val="0070C0"/>
                <w:sz w:val="24"/>
                <w:lang w:val="en-US" w:eastAsia="en-GB"/>
              </w:rPr>
            </w:pPr>
            <w:r>
              <w:rPr>
                <w:rFonts w:ascii="Arial" w:eastAsia="Calibri" w:hAnsi="Arial" w:cs="Arial"/>
                <w:color w:val="0070C0"/>
                <w:sz w:val="24"/>
                <w:lang w:val="en-US" w:eastAsia="en-GB"/>
              </w:rPr>
              <w:t>Direct and indirect</w:t>
            </w:r>
          </w:p>
        </w:tc>
      </w:tr>
      <w:tr w:rsidR="00AE611D"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490E72" w:rsidRPr="00490E72" w:rsidRDefault="00490E72" w:rsidP="00A4074A">
            <w:pPr>
              <w:ind w:left="426" w:hanging="437"/>
              <w:jc w:val="both"/>
              <w:rPr>
                <w:rFonts w:ascii="Arial" w:hAnsi="Arial" w:cs="Arial"/>
                <w:lang w:val="en-US"/>
              </w:rPr>
            </w:pPr>
            <w:r w:rsidRPr="00490E72">
              <w:rPr>
                <w:rFonts w:ascii="Arial" w:hAnsi="Arial" w:cs="Arial"/>
                <w:lang w:val="en-US"/>
              </w:rPr>
              <w:t>3e. Do you use any generic care records (paper or electronic) which by default if they are in use indicates non-specialist palliative care support can be coded?  Please supply the name of the document such as ‘end of life care plan’ or ‘palliation proforma’ or any other document electronic or paper.</w:t>
            </w:r>
          </w:p>
          <w:p w:rsidR="00AE611D" w:rsidRPr="00490E72" w:rsidRDefault="00AE611D" w:rsidP="00490E72">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AE611D" w:rsidRPr="00490E72" w:rsidRDefault="00DA7F1E" w:rsidP="00490E72">
            <w:pPr>
              <w:spacing w:line="252" w:lineRule="auto"/>
              <w:jc w:val="both"/>
              <w:rPr>
                <w:rFonts w:ascii="Arial" w:eastAsia="Calibri" w:hAnsi="Arial" w:cs="Arial"/>
                <w:color w:val="0070C0"/>
                <w:sz w:val="24"/>
                <w:lang w:val="en-US" w:eastAsia="en-GB"/>
              </w:rPr>
            </w:pPr>
            <w:r>
              <w:rPr>
                <w:rFonts w:ascii="Arial" w:eastAsia="Calibri" w:hAnsi="Arial" w:cs="Arial"/>
                <w:color w:val="0070C0"/>
                <w:sz w:val="24"/>
                <w:lang w:val="en-US" w:eastAsia="en-GB"/>
              </w:rPr>
              <w:t>Last days of life care plan.</w:t>
            </w:r>
          </w:p>
        </w:tc>
      </w:tr>
      <w:bookmarkEnd w:id="1"/>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A33" w:rsidRDefault="00692A33" w:rsidP="0033551A">
      <w:pPr>
        <w:spacing w:after="0" w:line="240" w:lineRule="auto"/>
      </w:pPr>
      <w:r>
        <w:separator/>
      </w:r>
    </w:p>
  </w:endnote>
  <w:endnote w:type="continuationSeparator" w:id="0">
    <w:p w:rsidR="00692A33" w:rsidRDefault="00692A33"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A33" w:rsidRDefault="00692A33" w:rsidP="0033551A">
      <w:pPr>
        <w:spacing w:after="0" w:line="240" w:lineRule="auto"/>
      </w:pPr>
      <w:r>
        <w:separator/>
      </w:r>
    </w:p>
  </w:footnote>
  <w:footnote w:type="continuationSeparator" w:id="0">
    <w:p w:rsidR="00692A33" w:rsidRDefault="00692A33"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16C2CE5"/>
    <w:multiLevelType w:val="hybridMultilevel"/>
    <w:tmpl w:val="1AE40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2"/>
  </w:num>
  <w:num w:numId="12">
    <w:abstractNumId w:val="14"/>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 w:numId="16">
    <w:abstractNumId w:val="22"/>
  </w:num>
  <w:num w:numId="17">
    <w:abstractNumId w:val="19"/>
  </w:num>
  <w:num w:numId="18">
    <w:abstractNumId w:val="1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8"/>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8"/>
  </w:num>
  <w:num w:numId="27">
    <w:abstractNumId w:val="15"/>
  </w:num>
  <w:num w:numId="28">
    <w:abstractNumId w:val="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A66CF"/>
    <w:rsid w:val="000B1EBE"/>
    <w:rsid w:val="00156725"/>
    <w:rsid w:val="001E465E"/>
    <w:rsid w:val="00237B1C"/>
    <w:rsid w:val="002651EE"/>
    <w:rsid w:val="002A7C24"/>
    <w:rsid w:val="002F1421"/>
    <w:rsid w:val="00316529"/>
    <w:rsid w:val="003354E7"/>
    <w:rsid w:val="0033551A"/>
    <w:rsid w:val="003503FB"/>
    <w:rsid w:val="003804ED"/>
    <w:rsid w:val="003B4563"/>
    <w:rsid w:val="003C4E44"/>
    <w:rsid w:val="004360B0"/>
    <w:rsid w:val="00441658"/>
    <w:rsid w:val="00472C36"/>
    <w:rsid w:val="004738BF"/>
    <w:rsid w:val="00482226"/>
    <w:rsid w:val="00490E72"/>
    <w:rsid w:val="00496B87"/>
    <w:rsid w:val="004A4CD1"/>
    <w:rsid w:val="004B4B3E"/>
    <w:rsid w:val="00504570"/>
    <w:rsid w:val="00530B09"/>
    <w:rsid w:val="00533AE8"/>
    <w:rsid w:val="00547C6C"/>
    <w:rsid w:val="005545DA"/>
    <w:rsid w:val="0059095F"/>
    <w:rsid w:val="005A01F8"/>
    <w:rsid w:val="005A3B76"/>
    <w:rsid w:val="005A71C1"/>
    <w:rsid w:val="005B3F1E"/>
    <w:rsid w:val="005D64C5"/>
    <w:rsid w:val="00616438"/>
    <w:rsid w:val="0064633A"/>
    <w:rsid w:val="00686130"/>
    <w:rsid w:val="00692A33"/>
    <w:rsid w:val="006974B9"/>
    <w:rsid w:val="006C4C0C"/>
    <w:rsid w:val="006D4711"/>
    <w:rsid w:val="006E4DEA"/>
    <w:rsid w:val="006F0A05"/>
    <w:rsid w:val="00711ACC"/>
    <w:rsid w:val="007D23F7"/>
    <w:rsid w:val="007E5D80"/>
    <w:rsid w:val="0081124D"/>
    <w:rsid w:val="00875881"/>
    <w:rsid w:val="00877D9C"/>
    <w:rsid w:val="00880170"/>
    <w:rsid w:val="0088111F"/>
    <w:rsid w:val="00885903"/>
    <w:rsid w:val="0092478A"/>
    <w:rsid w:val="00937110"/>
    <w:rsid w:val="0094299E"/>
    <w:rsid w:val="009529EC"/>
    <w:rsid w:val="00957B65"/>
    <w:rsid w:val="009D4EB5"/>
    <w:rsid w:val="00A0181C"/>
    <w:rsid w:val="00A4074A"/>
    <w:rsid w:val="00A5218A"/>
    <w:rsid w:val="00A634AC"/>
    <w:rsid w:val="00A67D0C"/>
    <w:rsid w:val="00AB100E"/>
    <w:rsid w:val="00AE611D"/>
    <w:rsid w:val="00B21EE9"/>
    <w:rsid w:val="00B46636"/>
    <w:rsid w:val="00B54AFE"/>
    <w:rsid w:val="00B55F70"/>
    <w:rsid w:val="00B719F2"/>
    <w:rsid w:val="00B95D25"/>
    <w:rsid w:val="00BD711E"/>
    <w:rsid w:val="00BE2769"/>
    <w:rsid w:val="00C41C65"/>
    <w:rsid w:val="00C830A2"/>
    <w:rsid w:val="00C855A7"/>
    <w:rsid w:val="00C97915"/>
    <w:rsid w:val="00CA1233"/>
    <w:rsid w:val="00CD7F59"/>
    <w:rsid w:val="00CF2C29"/>
    <w:rsid w:val="00D87C3B"/>
    <w:rsid w:val="00DA7F1E"/>
    <w:rsid w:val="00DC04F2"/>
    <w:rsid w:val="00E77D64"/>
    <w:rsid w:val="00EA3EE6"/>
    <w:rsid w:val="00F60E21"/>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274094677">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2</cp:revision>
  <dcterms:created xsi:type="dcterms:W3CDTF">2022-04-07T10:05:00Z</dcterms:created>
  <dcterms:modified xsi:type="dcterms:W3CDTF">2022-04-07T10:05:00Z</dcterms:modified>
</cp:coreProperties>
</file>