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24C3C" w14:textId="77777777" w:rsidR="0094299E" w:rsidRDefault="0094299E"/>
    <w:p w14:paraId="0BB38B64" w14:textId="77777777" w:rsidR="005A01F8" w:rsidRDefault="005A01F8" w:rsidP="0033551A">
      <w:pPr>
        <w:spacing w:after="0" w:line="240" w:lineRule="auto"/>
        <w:ind w:right="7041"/>
        <w:rPr>
          <w:rFonts w:ascii="Arial" w:hAnsi="Arial" w:cs="Arial"/>
          <w:sz w:val="24"/>
          <w:szCs w:val="24"/>
        </w:rPr>
      </w:pPr>
    </w:p>
    <w:p w14:paraId="01F73CE5" w14:textId="77777777" w:rsidR="005A01F8" w:rsidRDefault="005A01F8" w:rsidP="0033551A">
      <w:pPr>
        <w:spacing w:after="0" w:line="240" w:lineRule="auto"/>
        <w:ind w:right="7041"/>
        <w:rPr>
          <w:rFonts w:ascii="Arial" w:hAnsi="Arial" w:cs="Arial"/>
          <w:sz w:val="24"/>
          <w:szCs w:val="24"/>
        </w:rPr>
      </w:pPr>
    </w:p>
    <w:p w14:paraId="04E7CE33"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CA3F7A">
        <w:rPr>
          <w:rFonts w:ascii="Arial" w:eastAsia="Calibri" w:hAnsi="Arial" w:cs="Arial"/>
          <w:b/>
          <w:sz w:val="24"/>
          <w:szCs w:val="24"/>
        </w:rPr>
        <w:t>6401</w:t>
      </w:r>
    </w:p>
    <w:p w14:paraId="4BDE2610" w14:textId="77777777"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CA3F7A">
        <w:rPr>
          <w:rFonts w:ascii="Arial" w:eastAsia="Calibri" w:hAnsi="Arial" w:cs="Arial"/>
          <w:b/>
          <w:sz w:val="24"/>
          <w:szCs w:val="24"/>
        </w:rPr>
        <w:t>Staff – Agency Spend</w:t>
      </w:r>
    </w:p>
    <w:p w14:paraId="246712BD"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CA3F7A" w:rsidRPr="00CA3F7A">
        <w:rPr>
          <w:rFonts w:ascii="Arial" w:eastAsia="Calibri" w:hAnsi="Arial" w:cs="Arial"/>
          <w:b/>
          <w:sz w:val="24"/>
          <w:szCs w:val="24"/>
        </w:rPr>
        <w:t>Locum Agencies</w:t>
      </w:r>
    </w:p>
    <w:p w14:paraId="2146AC89" w14:textId="77777777"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CA3F7A">
        <w:rPr>
          <w:rFonts w:ascii="Arial" w:eastAsia="Calibri" w:hAnsi="Arial" w:cs="Arial"/>
          <w:b/>
          <w:sz w:val="24"/>
          <w:szCs w:val="24"/>
        </w:rPr>
        <w:t>23/05/2022</w:t>
      </w:r>
    </w:p>
    <w:p w14:paraId="2F55CF60" w14:textId="77777777"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3EC0C5F2"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0A0153EB"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6FFD2121"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5CECE91F"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7B8271A" w14:textId="77777777" w:rsidR="00D87C3B" w:rsidRPr="00D87C3B" w:rsidRDefault="00D87C3B" w:rsidP="00D87C3B">
            <w:pPr>
              <w:spacing w:line="252" w:lineRule="auto"/>
              <w:jc w:val="center"/>
              <w:rPr>
                <w:rFonts w:ascii="Arial" w:eastAsia="Calibri" w:hAnsi="Arial" w:cs="Arial"/>
                <w:b/>
                <w:szCs w:val="21"/>
                <w:lang w:eastAsia="en-GB"/>
              </w:rPr>
            </w:pPr>
          </w:p>
        </w:tc>
      </w:tr>
      <w:tr w:rsidR="005545DA" w:rsidRPr="00D87C3B" w14:paraId="30FEED55"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476A2EB" w14:textId="77777777" w:rsidR="00CA3F7A" w:rsidRPr="006B2A5C" w:rsidRDefault="00CA3F7A" w:rsidP="00CA3F7A">
            <w:pPr>
              <w:pStyle w:val="NormalWeb"/>
              <w:spacing w:before="0" w:beforeAutospacing="0" w:after="0" w:afterAutospacing="0"/>
              <w:rPr>
                <w:rFonts w:ascii="Arial" w:hAnsi="Arial" w:cs="Arial"/>
                <w:sz w:val="22"/>
                <w:szCs w:val="22"/>
              </w:rPr>
            </w:pPr>
            <w:r w:rsidRPr="006B2A5C">
              <w:rPr>
                <w:rFonts w:ascii="Arial" w:hAnsi="Arial" w:cs="Arial"/>
                <w:sz w:val="22"/>
                <w:szCs w:val="22"/>
              </w:rPr>
              <w:t>1) Please could you confirm the names of the top 5 locum agencies you have the most spend with within AHP/HSS there at the trust from the calendar year of 2021?</w:t>
            </w:r>
          </w:p>
          <w:p w14:paraId="5654C838" w14:textId="77777777" w:rsidR="005545DA" w:rsidRPr="006B2A5C" w:rsidRDefault="005545DA"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16A0005E" w14:textId="77777777" w:rsidR="00BD51ED" w:rsidRPr="006B2A5C" w:rsidRDefault="00BD51ED" w:rsidP="00BD51ED">
            <w:pPr>
              <w:spacing w:line="252" w:lineRule="auto"/>
              <w:rPr>
                <w:rFonts w:ascii="Arial" w:hAnsi="Arial" w:cs="Arial"/>
                <w:color w:val="0070C0"/>
                <w:szCs w:val="24"/>
                <w:lang w:val="en-US"/>
              </w:rPr>
            </w:pPr>
            <w:r w:rsidRPr="006B2A5C">
              <w:rPr>
                <w:rFonts w:ascii="Arial" w:hAnsi="Arial" w:cs="Arial"/>
                <w:color w:val="0070C0"/>
                <w:szCs w:val="24"/>
                <w:lang w:val="en-US"/>
              </w:rPr>
              <w:t>Sanctuary Personnel</w:t>
            </w:r>
          </w:p>
          <w:p w14:paraId="133AC31C" w14:textId="77777777" w:rsidR="00BD51ED" w:rsidRPr="006B2A5C" w:rsidRDefault="00BD51ED" w:rsidP="00BD51ED">
            <w:pPr>
              <w:spacing w:line="252" w:lineRule="auto"/>
              <w:rPr>
                <w:rFonts w:ascii="Arial" w:hAnsi="Arial" w:cs="Arial"/>
                <w:color w:val="0070C0"/>
                <w:szCs w:val="24"/>
                <w:lang w:val="en-US"/>
              </w:rPr>
            </w:pPr>
            <w:r w:rsidRPr="006B2A5C">
              <w:rPr>
                <w:rFonts w:ascii="Arial" w:hAnsi="Arial" w:cs="Arial"/>
                <w:color w:val="0070C0"/>
                <w:szCs w:val="24"/>
                <w:lang w:val="en-US"/>
              </w:rPr>
              <w:t>Pulse</w:t>
            </w:r>
          </w:p>
          <w:p w14:paraId="505BBC0C" w14:textId="77777777" w:rsidR="00BD51ED" w:rsidRPr="006B2A5C" w:rsidRDefault="00BD51ED" w:rsidP="00BD51ED">
            <w:pPr>
              <w:spacing w:line="252" w:lineRule="auto"/>
              <w:rPr>
                <w:rFonts w:ascii="Arial" w:hAnsi="Arial" w:cs="Arial"/>
                <w:color w:val="0070C0"/>
                <w:szCs w:val="24"/>
                <w:lang w:val="en-US"/>
              </w:rPr>
            </w:pPr>
            <w:proofErr w:type="spellStart"/>
            <w:r w:rsidRPr="006B2A5C">
              <w:rPr>
                <w:rFonts w:ascii="Arial" w:hAnsi="Arial" w:cs="Arial"/>
                <w:color w:val="0070C0"/>
                <w:szCs w:val="24"/>
                <w:lang w:val="en-US"/>
              </w:rPr>
              <w:t>Maxxima</w:t>
            </w:r>
            <w:proofErr w:type="spellEnd"/>
          </w:p>
          <w:p w14:paraId="6A49FF02" w14:textId="77777777" w:rsidR="00BD51ED" w:rsidRPr="006B2A5C" w:rsidRDefault="00BD51ED" w:rsidP="00BD51ED">
            <w:pPr>
              <w:spacing w:line="252" w:lineRule="auto"/>
              <w:rPr>
                <w:rFonts w:ascii="Arial" w:hAnsi="Arial" w:cs="Arial"/>
                <w:color w:val="0070C0"/>
                <w:szCs w:val="24"/>
                <w:lang w:val="en-US"/>
              </w:rPr>
            </w:pPr>
            <w:r w:rsidRPr="006B2A5C">
              <w:rPr>
                <w:rFonts w:ascii="Arial" w:hAnsi="Arial" w:cs="Arial"/>
                <w:color w:val="0070C0"/>
                <w:szCs w:val="24"/>
                <w:lang w:val="en-US"/>
              </w:rPr>
              <w:t>Globe Locums</w:t>
            </w:r>
          </w:p>
          <w:p w14:paraId="0D91E4B0" w14:textId="33C8EA16" w:rsidR="005545DA" w:rsidRPr="006B2A5C" w:rsidRDefault="00BD51ED" w:rsidP="00BD51ED">
            <w:pPr>
              <w:spacing w:line="252" w:lineRule="auto"/>
              <w:rPr>
                <w:rFonts w:ascii="Arial" w:eastAsia="Calibri" w:hAnsi="Arial" w:cs="Arial"/>
                <w:color w:val="0070C0"/>
                <w:lang w:val="en-US" w:eastAsia="en-GB"/>
              </w:rPr>
            </w:pPr>
            <w:r w:rsidRPr="006B2A5C">
              <w:rPr>
                <w:rFonts w:ascii="Arial" w:hAnsi="Arial" w:cs="Arial"/>
                <w:color w:val="0070C0"/>
                <w:szCs w:val="24"/>
                <w:lang w:val="en-US"/>
              </w:rPr>
              <w:t>Rig Healthcare</w:t>
            </w:r>
          </w:p>
        </w:tc>
      </w:tr>
      <w:tr w:rsidR="00530118" w:rsidRPr="00D87C3B" w14:paraId="4D6D5863"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EE3B4F7" w14:textId="77777777" w:rsidR="00CA3F7A" w:rsidRPr="006B2A5C" w:rsidRDefault="00CA3F7A" w:rsidP="00CA3F7A">
            <w:pPr>
              <w:pStyle w:val="NormalWeb"/>
              <w:spacing w:before="0" w:beforeAutospacing="0" w:after="0" w:afterAutospacing="0"/>
              <w:rPr>
                <w:rFonts w:ascii="Arial" w:hAnsi="Arial" w:cs="Arial"/>
                <w:sz w:val="22"/>
                <w:szCs w:val="22"/>
              </w:rPr>
            </w:pPr>
            <w:r w:rsidRPr="006B2A5C">
              <w:rPr>
                <w:rFonts w:ascii="Arial" w:hAnsi="Arial" w:cs="Arial"/>
                <w:sz w:val="22"/>
                <w:szCs w:val="22"/>
              </w:rPr>
              <w:t>2. Please could you state the utilisation rate for each agency that has been achieved? This should amount to the total value of AHP locum spend supplied by each agency during the 2021 calendar year as a percentage of total AHP locum spend in the same period.</w:t>
            </w:r>
          </w:p>
          <w:p w14:paraId="40A22E77" w14:textId="77777777" w:rsidR="00530118" w:rsidRPr="006B2A5C"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47495C6D" w14:textId="77777777" w:rsidR="00BD51ED" w:rsidRPr="006B2A5C" w:rsidRDefault="00BD51ED" w:rsidP="00BD51ED">
            <w:pPr>
              <w:spacing w:line="252" w:lineRule="auto"/>
              <w:rPr>
                <w:rFonts w:ascii="Arial" w:hAnsi="Arial" w:cs="Arial"/>
                <w:color w:val="0070C0"/>
                <w:szCs w:val="24"/>
                <w:lang w:val="en-US"/>
              </w:rPr>
            </w:pPr>
            <w:r w:rsidRPr="006B2A5C">
              <w:rPr>
                <w:rFonts w:ascii="Arial" w:hAnsi="Arial" w:cs="Arial"/>
                <w:color w:val="0070C0"/>
                <w:szCs w:val="24"/>
                <w:lang w:val="en-US"/>
              </w:rPr>
              <w:t>Sanctuary Personnel - £137,491</w:t>
            </w:r>
          </w:p>
          <w:p w14:paraId="646B8ED9" w14:textId="77777777" w:rsidR="00BD51ED" w:rsidRPr="006B2A5C" w:rsidRDefault="00BD51ED" w:rsidP="00BD51ED">
            <w:pPr>
              <w:spacing w:line="252" w:lineRule="auto"/>
              <w:rPr>
                <w:rFonts w:ascii="Arial" w:hAnsi="Arial" w:cs="Arial"/>
                <w:color w:val="0070C0"/>
                <w:szCs w:val="24"/>
                <w:lang w:val="en-US"/>
              </w:rPr>
            </w:pPr>
            <w:r w:rsidRPr="006B2A5C">
              <w:rPr>
                <w:rFonts w:ascii="Arial" w:hAnsi="Arial" w:cs="Arial"/>
                <w:color w:val="0070C0"/>
                <w:szCs w:val="24"/>
                <w:lang w:val="en-US"/>
              </w:rPr>
              <w:t>Pulse -£108,492</w:t>
            </w:r>
          </w:p>
          <w:p w14:paraId="0D53FF17" w14:textId="77777777" w:rsidR="00BD51ED" w:rsidRPr="006B2A5C" w:rsidRDefault="00BD51ED" w:rsidP="00BD51ED">
            <w:pPr>
              <w:spacing w:line="252" w:lineRule="auto"/>
              <w:rPr>
                <w:rFonts w:ascii="Arial" w:hAnsi="Arial" w:cs="Arial"/>
                <w:color w:val="0070C0"/>
                <w:szCs w:val="24"/>
                <w:lang w:val="en-US"/>
              </w:rPr>
            </w:pPr>
            <w:proofErr w:type="spellStart"/>
            <w:r w:rsidRPr="006B2A5C">
              <w:rPr>
                <w:rFonts w:ascii="Arial" w:hAnsi="Arial" w:cs="Arial"/>
                <w:color w:val="0070C0"/>
                <w:szCs w:val="24"/>
                <w:lang w:val="en-US"/>
              </w:rPr>
              <w:t>Maxxima</w:t>
            </w:r>
            <w:proofErr w:type="spellEnd"/>
            <w:r w:rsidRPr="006B2A5C">
              <w:rPr>
                <w:rFonts w:ascii="Arial" w:hAnsi="Arial" w:cs="Arial"/>
                <w:color w:val="0070C0"/>
                <w:szCs w:val="24"/>
                <w:lang w:val="en-US"/>
              </w:rPr>
              <w:t xml:space="preserve"> - £127,644</w:t>
            </w:r>
          </w:p>
          <w:p w14:paraId="6A6DCA2D" w14:textId="77777777" w:rsidR="00BD51ED" w:rsidRPr="006B2A5C" w:rsidRDefault="00BD51ED" w:rsidP="00BD51ED">
            <w:pPr>
              <w:spacing w:line="252" w:lineRule="auto"/>
              <w:rPr>
                <w:rFonts w:ascii="Arial" w:hAnsi="Arial" w:cs="Arial"/>
                <w:color w:val="0070C0"/>
                <w:szCs w:val="24"/>
                <w:lang w:val="en-US"/>
              </w:rPr>
            </w:pPr>
            <w:r w:rsidRPr="006B2A5C">
              <w:rPr>
                <w:rFonts w:ascii="Arial" w:hAnsi="Arial" w:cs="Arial"/>
                <w:color w:val="0070C0"/>
                <w:szCs w:val="24"/>
                <w:lang w:val="en-US"/>
              </w:rPr>
              <w:t>Globe Locums - £95,282</w:t>
            </w:r>
          </w:p>
          <w:p w14:paraId="28DD50B1" w14:textId="10F222BA" w:rsidR="00530118" w:rsidRPr="006B2A5C" w:rsidRDefault="00BD51ED" w:rsidP="00BD51ED">
            <w:pPr>
              <w:spacing w:line="252" w:lineRule="auto"/>
              <w:rPr>
                <w:rFonts w:ascii="Arial" w:eastAsia="Calibri" w:hAnsi="Arial" w:cs="Arial"/>
                <w:color w:val="0070C0"/>
                <w:lang w:val="en-US" w:eastAsia="en-GB"/>
              </w:rPr>
            </w:pPr>
            <w:r w:rsidRPr="006B2A5C">
              <w:rPr>
                <w:rFonts w:ascii="Arial" w:hAnsi="Arial" w:cs="Arial"/>
                <w:color w:val="0070C0"/>
                <w:szCs w:val="24"/>
                <w:lang w:val="en-US"/>
              </w:rPr>
              <w:t>Rig Healthcare - £106,051</w:t>
            </w:r>
          </w:p>
        </w:tc>
      </w:tr>
      <w:tr w:rsidR="00530118" w:rsidRPr="00D87C3B" w14:paraId="2020A81E"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6E4AFBE" w14:textId="77777777" w:rsidR="00CA3F7A" w:rsidRPr="006B2A5C" w:rsidRDefault="00CA3F7A" w:rsidP="00CA3F7A">
            <w:pPr>
              <w:pStyle w:val="NormalWeb"/>
              <w:spacing w:before="0" w:beforeAutospacing="0" w:after="0" w:afterAutospacing="0"/>
              <w:rPr>
                <w:rFonts w:ascii="Arial" w:hAnsi="Arial" w:cs="Arial"/>
                <w:sz w:val="22"/>
                <w:szCs w:val="22"/>
              </w:rPr>
            </w:pPr>
            <w:r w:rsidRPr="006B2A5C">
              <w:rPr>
                <w:rFonts w:ascii="Arial" w:hAnsi="Arial" w:cs="Arial"/>
                <w:sz w:val="22"/>
                <w:szCs w:val="22"/>
              </w:rPr>
              <w:t xml:space="preserve">3) Please can </w:t>
            </w:r>
            <w:proofErr w:type="gramStart"/>
            <w:r w:rsidRPr="006B2A5C">
              <w:rPr>
                <w:rFonts w:ascii="Arial" w:hAnsi="Arial" w:cs="Arial"/>
                <w:sz w:val="22"/>
                <w:szCs w:val="22"/>
              </w:rPr>
              <w:t>you</w:t>
            </w:r>
            <w:proofErr w:type="gramEnd"/>
            <w:r w:rsidRPr="006B2A5C">
              <w:rPr>
                <w:rFonts w:ascii="Arial" w:hAnsi="Arial" w:cs="Arial"/>
                <w:sz w:val="22"/>
                <w:szCs w:val="22"/>
              </w:rPr>
              <w:t xml:space="preserve"> breakdown the total spend on AHP/HSS agency staff during the calendar year of 2021?</w:t>
            </w:r>
          </w:p>
          <w:p w14:paraId="3E370DCD" w14:textId="77777777" w:rsidR="00530118" w:rsidRPr="006B2A5C"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32C2A134" w14:textId="77777777" w:rsidR="00BD51ED" w:rsidRPr="006B2A5C" w:rsidRDefault="00BD51ED" w:rsidP="00BD51ED">
            <w:pPr>
              <w:spacing w:line="252" w:lineRule="auto"/>
              <w:rPr>
                <w:rFonts w:ascii="Arial" w:hAnsi="Arial" w:cs="Arial"/>
                <w:color w:val="0070C0"/>
                <w:szCs w:val="24"/>
                <w:lang w:val="en-US"/>
              </w:rPr>
            </w:pPr>
            <w:r w:rsidRPr="006B2A5C">
              <w:rPr>
                <w:rFonts w:ascii="Arial" w:hAnsi="Arial" w:cs="Arial"/>
                <w:color w:val="0070C0"/>
                <w:szCs w:val="24"/>
                <w:lang w:val="en-US"/>
              </w:rPr>
              <w:t>AHP – £350,124.57</w:t>
            </w:r>
          </w:p>
          <w:p w14:paraId="61193C06" w14:textId="6FAF2938" w:rsidR="00530118" w:rsidRPr="006B2A5C" w:rsidRDefault="00BD51ED" w:rsidP="00BD51ED">
            <w:pPr>
              <w:spacing w:line="252" w:lineRule="auto"/>
              <w:rPr>
                <w:rFonts w:ascii="Arial" w:eastAsia="Calibri" w:hAnsi="Arial" w:cs="Arial"/>
                <w:color w:val="0070C0"/>
                <w:lang w:val="en-US" w:eastAsia="en-GB"/>
              </w:rPr>
            </w:pPr>
            <w:r w:rsidRPr="006B2A5C">
              <w:rPr>
                <w:rFonts w:ascii="Arial" w:hAnsi="Arial" w:cs="Arial"/>
                <w:color w:val="0070C0"/>
                <w:szCs w:val="24"/>
                <w:lang w:val="en-US"/>
              </w:rPr>
              <w:t>HSS - £380,824.42</w:t>
            </w:r>
          </w:p>
        </w:tc>
      </w:tr>
      <w:tr w:rsidR="00530118" w:rsidRPr="00D87C3B" w14:paraId="5D1C5BBC"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1FDE5CFE" w14:textId="77777777" w:rsidR="00530118" w:rsidRPr="006B2A5C" w:rsidRDefault="00CA3F7A" w:rsidP="00530118">
            <w:pPr>
              <w:autoSpaceDE w:val="0"/>
              <w:autoSpaceDN w:val="0"/>
              <w:spacing w:afterLines="20" w:after="48"/>
              <w:rPr>
                <w:rFonts w:ascii="Arial" w:hAnsi="Arial" w:cs="Arial"/>
              </w:rPr>
            </w:pPr>
            <w:r w:rsidRPr="006B2A5C">
              <w:rPr>
                <w:rFonts w:ascii="Arial" w:hAnsi="Arial" w:cs="Arial"/>
              </w:rPr>
              <w:t>4) Please can break down the total spend on AHP/HSS agency staffing during the calendar year 2021 for the specialisms below:</w:t>
            </w:r>
          </w:p>
        </w:tc>
        <w:tc>
          <w:tcPr>
            <w:tcW w:w="5219" w:type="dxa"/>
            <w:tcBorders>
              <w:top w:val="single" w:sz="4" w:space="0" w:color="auto"/>
              <w:left w:val="single" w:sz="4" w:space="0" w:color="auto"/>
              <w:right w:val="single" w:sz="4" w:space="0" w:color="auto"/>
            </w:tcBorders>
          </w:tcPr>
          <w:p w14:paraId="4E1D3D38" w14:textId="77777777" w:rsidR="00530118" w:rsidRDefault="00530118" w:rsidP="00A634AC">
            <w:pPr>
              <w:spacing w:line="252" w:lineRule="auto"/>
              <w:rPr>
                <w:rFonts w:ascii="Arial" w:eastAsia="Calibri" w:hAnsi="Arial" w:cs="Arial"/>
                <w:color w:val="0070C0"/>
                <w:lang w:val="en-US" w:eastAsia="en-GB"/>
              </w:rPr>
            </w:pPr>
          </w:p>
          <w:tbl>
            <w:tblPr>
              <w:tblW w:w="0" w:type="auto"/>
              <w:tblCellMar>
                <w:left w:w="0" w:type="dxa"/>
                <w:right w:w="0" w:type="dxa"/>
              </w:tblCellMar>
              <w:tblLook w:val="04A0" w:firstRow="1" w:lastRow="0" w:firstColumn="1" w:lastColumn="0" w:noHBand="0" w:noVBand="1"/>
            </w:tblPr>
            <w:tblGrid>
              <w:gridCol w:w="3088"/>
              <w:gridCol w:w="1895"/>
            </w:tblGrid>
            <w:tr w:rsidR="006B2A5C" w:rsidRPr="006B2A5C" w14:paraId="3C645865" w14:textId="77777777" w:rsidTr="00C73FEC">
              <w:trPr>
                <w:trHeight w:val="326"/>
              </w:trPr>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A5366A"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b/>
                      <w:bCs/>
                      <w:lang w:eastAsia="en-GB"/>
                    </w:rPr>
                    <w:t>AHP</w:t>
                  </w:r>
                </w:p>
              </w:tc>
              <w:tc>
                <w:tcPr>
                  <w:tcW w:w="2126" w:type="dxa"/>
                  <w:tcBorders>
                    <w:top w:val="single" w:sz="8" w:space="0" w:color="auto"/>
                    <w:left w:val="nil"/>
                    <w:bottom w:val="single" w:sz="8" w:space="0" w:color="auto"/>
                    <w:right w:val="single" w:sz="8" w:space="0" w:color="auto"/>
                  </w:tcBorders>
                  <w:hideMark/>
                </w:tcPr>
                <w:p w14:paraId="072548BE"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b/>
                      <w:bCs/>
                      <w:lang w:eastAsia="en-GB"/>
                    </w:rPr>
                    <w:t>Spend</w:t>
                  </w:r>
                </w:p>
              </w:tc>
            </w:tr>
            <w:tr w:rsidR="006B2A5C" w:rsidRPr="006B2A5C" w14:paraId="37272CB8" w14:textId="77777777" w:rsidTr="00C73FEC">
              <w:trPr>
                <w:trHeight w:val="202"/>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FFD72"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Sonographers</w:t>
                  </w:r>
                </w:p>
              </w:tc>
              <w:tc>
                <w:tcPr>
                  <w:tcW w:w="2126" w:type="dxa"/>
                  <w:tcBorders>
                    <w:top w:val="nil"/>
                    <w:left w:val="nil"/>
                    <w:bottom w:val="single" w:sz="8" w:space="0" w:color="auto"/>
                    <w:right w:val="single" w:sz="8" w:space="0" w:color="auto"/>
                  </w:tcBorders>
                  <w:hideMark/>
                </w:tcPr>
                <w:p w14:paraId="44CAE7B0" w14:textId="77777777" w:rsidR="006B2A5C" w:rsidRPr="006B2A5C" w:rsidRDefault="006B2A5C" w:rsidP="006B2A5C">
                  <w:pPr>
                    <w:spacing w:after="0" w:line="252" w:lineRule="auto"/>
                    <w:rPr>
                      <w:rFonts w:ascii="Arial" w:eastAsia="Times New Roman" w:hAnsi="Arial" w:cs="Arial"/>
                      <w:color w:val="0070C0"/>
                      <w:lang w:val="en-US"/>
                    </w:rPr>
                  </w:pPr>
                  <w:r w:rsidRPr="006B2A5C">
                    <w:rPr>
                      <w:rFonts w:ascii="Arial" w:hAnsi="Arial" w:cs="Arial"/>
                      <w:color w:val="0070C0"/>
                      <w:lang w:val="en-US"/>
                    </w:rPr>
                    <w:t> 0</w:t>
                  </w:r>
                </w:p>
              </w:tc>
            </w:tr>
            <w:tr w:rsidR="006B2A5C" w:rsidRPr="006B2A5C" w14:paraId="004AA10F" w14:textId="77777777" w:rsidTr="00C73FEC">
              <w:trPr>
                <w:trHeight w:val="213"/>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B6A41"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Radiographers</w:t>
                  </w:r>
                </w:p>
              </w:tc>
              <w:tc>
                <w:tcPr>
                  <w:tcW w:w="2126" w:type="dxa"/>
                  <w:tcBorders>
                    <w:top w:val="nil"/>
                    <w:left w:val="nil"/>
                    <w:bottom w:val="single" w:sz="8" w:space="0" w:color="auto"/>
                    <w:right w:val="single" w:sz="8" w:space="0" w:color="auto"/>
                  </w:tcBorders>
                  <w:hideMark/>
                </w:tcPr>
                <w:p w14:paraId="06583089" w14:textId="77777777" w:rsidR="006B2A5C" w:rsidRPr="006B2A5C" w:rsidRDefault="006B2A5C" w:rsidP="006B2A5C">
                  <w:pPr>
                    <w:spacing w:after="0" w:line="252" w:lineRule="auto"/>
                    <w:rPr>
                      <w:rFonts w:ascii="Arial" w:eastAsia="Times New Roman" w:hAnsi="Arial" w:cs="Arial"/>
                      <w:color w:val="0070C0"/>
                      <w:lang w:val="en-US"/>
                    </w:rPr>
                  </w:pPr>
                  <w:r w:rsidRPr="006B2A5C">
                    <w:rPr>
                      <w:rFonts w:ascii="Arial" w:hAnsi="Arial" w:cs="Arial"/>
                      <w:color w:val="0070C0"/>
                      <w:lang w:val="en-US"/>
                    </w:rPr>
                    <w:t>£172,577.05</w:t>
                  </w:r>
                </w:p>
              </w:tc>
            </w:tr>
            <w:tr w:rsidR="006B2A5C" w:rsidRPr="006B2A5C" w14:paraId="05CE3EA5" w14:textId="77777777" w:rsidTr="00C73FEC">
              <w:trPr>
                <w:trHeight w:val="213"/>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17326"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Radiotherapists</w:t>
                  </w:r>
                </w:p>
              </w:tc>
              <w:tc>
                <w:tcPr>
                  <w:tcW w:w="2126" w:type="dxa"/>
                  <w:tcBorders>
                    <w:top w:val="nil"/>
                    <w:left w:val="nil"/>
                    <w:bottom w:val="single" w:sz="8" w:space="0" w:color="auto"/>
                    <w:right w:val="single" w:sz="8" w:space="0" w:color="auto"/>
                  </w:tcBorders>
                  <w:hideMark/>
                </w:tcPr>
                <w:p w14:paraId="1A7B4336" w14:textId="77777777" w:rsidR="006B2A5C" w:rsidRPr="006B2A5C" w:rsidRDefault="006B2A5C" w:rsidP="006B2A5C">
                  <w:pPr>
                    <w:spacing w:after="0" w:line="252" w:lineRule="auto"/>
                    <w:rPr>
                      <w:rFonts w:ascii="Arial" w:eastAsia="Times New Roman" w:hAnsi="Arial" w:cs="Arial"/>
                      <w:color w:val="0070C0"/>
                      <w:lang w:val="en-US"/>
                    </w:rPr>
                  </w:pPr>
                  <w:r w:rsidRPr="006B2A5C">
                    <w:rPr>
                      <w:rFonts w:ascii="Arial" w:hAnsi="Arial" w:cs="Arial"/>
                      <w:color w:val="0070C0"/>
                      <w:lang w:val="en-US"/>
                    </w:rPr>
                    <w:t>0 </w:t>
                  </w:r>
                </w:p>
              </w:tc>
            </w:tr>
            <w:tr w:rsidR="006B2A5C" w:rsidRPr="006B2A5C" w14:paraId="20320353" w14:textId="77777777" w:rsidTr="00C73FEC">
              <w:trPr>
                <w:trHeight w:val="313"/>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F31E"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Clinical Physiologists</w:t>
                  </w:r>
                </w:p>
              </w:tc>
              <w:tc>
                <w:tcPr>
                  <w:tcW w:w="2126" w:type="dxa"/>
                  <w:tcBorders>
                    <w:top w:val="nil"/>
                    <w:left w:val="nil"/>
                    <w:bottom w:val="single" w:sz="8" w:space="0" w:color="auto"/>
                    <w:right w:val="single" w:sz="8" w:space="0" w:color="auto"/>
                  </w:tcBorders>
                  <w:hideMark/>
                </w:tcPr>
                <w:p w14:paraId="1A8CA210" w14:textId="77777777" w:rsidR="006B2A5C" w:rsidRPr="006B2A5C" w:rsidRDefault="006B2A5C" w:rsidP="006B2A5C">
                  <w:pPr>
                    <w:spacing w:after="0" w:line="252" w:lineRule="auto"/>
                    <w:rPr>
                      <w:rFonts w:ascii="Arial" w:eastAsia="Times New Roman" w:hAnsi="Arial" w:cs="Arial"/>
                      <w:color w:val="0070C0"/>
                      <w:lang w:val="en-US"/>
                    </w:rPr>
                  </w:pPr>
                  <w:r w:rsidRPr="006B2A5C">
                    <w:rPr>
                      <w:rFonts w:ascii="Arial" w:hAnsi="Arial" w:cs="Arial"/>
                      <w:color w:val="0070C0"/>
                      <w:lang w:val="en-US"/>
                    </w:rPr>
                    <w:t> £41,507.60</w:t>
                  </w:r>
                </w:p>
              </w:tc>
            </w:tr>
            <w:tr w:rsidR="006B2A5C" w:rsidRPr="006B2A5C" w14:paraId="3D01D770" w14:textId="77777777" w:rsidTr="00C73FEC">
              <w:trPr>
                <w:trHeight w:val="213"/>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653E1"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Physiotherapists</w:t>
                  </w:r>
                </w:p>
              </w:tc>
              <w:tc>
                <w:tcPr>
                  <w:tcW w:w="2126" w:type="dxa"/>
                  <w:tcBorders>
                    <w:top w:val="nil"/>
                    <w:left w:val="nil"/>
                    <w:bottom w:val="single" w:sz="8" w:space="0" w:color="auto"/>
                    <w:right w:val="single" w:sz="8" w:space="0" w:color="auto"/>
                  </w:tcBorders>
                  <w:hideMark/>
                </w:tcPr>
                <w:p w14:paraId="22BCB894" w14:textId="77777777" w:rsidR="006B2A5C" w:rsidRPr="006B2A5C" w:rsidRDefault="006B2A5C" w:rsidP="006B2A5C">
                  <w:pPr>
                    <w:spacing w:after="0" w:line="252" w:lineRule="auto"/>
                    <w:rPr>
                      <w:rFonts w:ascii="Arial" w:eastAsia="Times New Roman" w:hAnsi="Arial" w:cs="Arial"/>
                      <w:color w:val="0070C0"/>
                      <w:lang w:val="en-US"/>
                    </w:rPr>
                  </w:pPr>
                  <w:r w:rsidRPr="006B2A5C">
                    <w:rPr>
                      <w:rFonts w:ascii="Arial" w:hAnsi="Arial" w:cs="Arial"/>
                      <w:color w:val="0070C0"/>
                      <w:lang w:val="en-US"/>
                    </w:rPr>
                    <w:t> £74,483.70</w:t>
                  </w:r>
                </w:p>
              </w:tc>
            </w:tr>
            <w:tr w:rsidR="006B2A5C" w:rsidRPr="006B2A5C" w14:paraId="272A8B87" w14:textId="77777777" w:rsidTr="00C73FEC">
              <w:trPr>
                <w:trHeight w:val="213"/>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2BD15"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Occupational Therapists</w:t>
                  </w:r>
                </w:p>
              </w:tc>
              <w:tc>
                <w:tcPr>
                  <w:tcW w:w="2126" w:type="dxa"/>
                  <w:tcBorders>
                    <w:top w:val="nil"/>
                    <w:left w:val="nil"/>
                    <w:bottom w:val="single" w:sz="8" w:space="0" w:color="auto"/>
                    <w:right w:val="single" w:sz="8" w:space="0" w:color="auto"/>
                  </w:tcBorders>
                  <w:hideMark/>
                </w:tcPr>
                <w:p w14:paraId="060C767F" w14:textId="77777777" w:rsidR="006B2A5C" w:rsidRPr="006B2A5C" w:rsidRDefault="006B2A5C" w:rsidP="006B2A5C">
                  <w:pPr>
                    <w:spacing w:after="0" w:line="252" w:lineRule="auto"/>
                    <w:rPr>
                      <w:rFonts w:ascii="Arial" w:eastAsia="Times New Roman" w:hAnsi="Arial" w:cs="Arial"/>
                      <w:color w:val="0070C0"/>
                      <w:lang w:val="en-US"/>
                    </w:rPr>
                  </w:pPr>
                  <w:r w:rsidRPr="006B2A5C">
                    <w:rPr>
                      <w:rFonts w:ascii="Arial" w:hAnsi="Arial" w:cs="Arial"/>
                      <w:color w:val="0070C0"/>
                      <w:lang w:val="en-US"/>
                    </w:rPr>
                    <w:t> £73,825.85</w:t>
                  </w:r>
                </w:p>
              </w:tc>
            </w:tr>
            <w:tr w:rsidR="006B2A5C" w:rsidRPr="006B2A5C" w14:paraId="6E60FD8B" w14:textId="77777777" w:rsidTr="00C73FEC">
              <w:trPr>
                <w:trHeight w:val="202"/>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78606"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Speech and Language Therapists</w:t>
                  </w:r>
                </w:p>
              </w:tc>
              <w:tc>
                <w:tcPr>
                  <w:tcW w:w="2126" w:type="dxa"/>
                  <w:tcBorders>
                    <w:top w:val="nil"/>
                    <w:left w:val="nil"/>
                    <w:bottom w:val="single" w:sz="8" w:space="0" w:color="auto"/>
                    <w:right w:val="single" w:sz="8" w:space="0" w:color="auto"/>
                  </w:tcBorders>
                  <w:hideMark/>
                </w:tcPr>
                <w:p w14:paraId="3B1D4EB3" w14:textId="77777777" w:rsidR="006B2A5C" w:rsidRPr="006B2A5C" w:rsidRDefault="006B2A5C" w:rsidP="006B2A5C">
                  <w:pPr>
                    <w:spacing w:after="0" w:line="252" w:lineRule="auto"/>
                    <w:rPr>
                      <w:rFonts w:ascii="Arial" w:eastAsia="Times New Roman" w:hAnsi="Arial" w:cs="Arial"/>
                      <w:color w:val="0070C0"/>
                      <w:lang w:val="en-US"/>
                    </w:rPr>
                  </w:pPr>
                  <w:r w:rsidRPr="006B2A5C">
                    <w:rPr>
                      <w:rFonts w:ascii="Arial" w:hAnsi="Arial" w:cs="Arial"/>
                      <w:color w:val="0070C0"/>
                      <w:lang w:val="en-US"/>
                    </w:rPr>
                    <w:t> 0</w:t>
                  </w:r>
                </w:p>
              </w:tc>
            </w:tr>
            <w:tr w:rsidR="006B2A5C" w:rsidRPr="006B2A5C" w14:paraId="23225B6A" w14:textId="77777777" w:rsidTr="00C73FEC">
              <w:trPr>
                <w:trHeight w:val="213"/>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BB981"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Audiologists</w:t>
                  </w:r>
                </w:p>
              </w:tc>
              <w:tc>
                <w:tcPr>
                  <w:tcW w:w="2126" w:type="dxa"/>
                  <w:tcBorders>
                    <w:top w:val="nil"/>
                    <w:left w:val="nil"/>
                    <w:bottom w:val="single" w:sz="8" w:space="0" w:color="auto"/>
                    <w:right w:val="single" w:sz="8" w:space="0" w:color="auto"/>
                  </w:tcBorders>
                  <w:hideMark/>
                </w:tcPr>
                <w:p w14:paraId="03385505" w14:textId="77777777" w:rsidR="006B2A5C" w:rsidRPr="006B2A5C" w:rsidRDefault="006B2A5C" w:rsidP="006B2A5C">
                  <w:pPr>
                    <w:spacing w:after="0" w:line="252" w:lineRule="auto"/>
                    <w:rPr>
                      <w:rFonts w:ascii="Arial" w:eastAsia="Times New Roman" w:hAnsi="Arial" w:cs="Arial"/>
                      <w:color w:val="0070C0"/>
                      <w:lang w:val="en-US"/>
                    </w:rPr>
                  </w:pPr>
                  <w:r w:rsidRPr="006B2A5C">
                    <w:rPr>
                      <w:rFonts w:ascii="Arial" w:hAnsi="Arial" w:cs="Arial"/>
                      <w:color w:val="0070C0"/>
                      <w:lang w:val="en-US"/>
                    </w:rPr>
                    <w:t> 0</w:t>
                  </w:r>
                </w:p>
              </w:tc>
            </w:tr>
            <w:tr w:rsidR="006B2A5C" w:rsidRPr="006B2A5C" w14:paraId="1248B4B4" w14:textId="77777777" w:rsidTr="00C73FEC">
              <w:trPr>
                <w:trHeight w:val="202"/>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9A6A2"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Dieticians</w:t>
                  </w:r>
                </w:p>
              </w:tc>
              <w:tc>
                <w:tcPr>
                  <w:tcW w:w="2126" w:type="dxa"/>
                  <w:tcBorders>
                    <w:top w:val="nil"/>
                    <w:left w:val="nil"/>
                    <w:bottom w:val="single" w:sz="8" w:space="0" w:color="auto"/>
                    <w:right w:val="single" w:sz="8" w:space="0" w:color="auto"/>
                  </w:tcBorders>
                  <w:hideMark/>
                </w:tcPr>
                <w:p w14:paraId="0B1A7D61" w14:textId="77777777" w:rsidR="006B2A5C" w:rsidRPr="006B2A5C" w:rsidRDefault="006B2A5C" w:rsidP="006B2A5C">
                  <w:pPr>
                    <w:spacing w:after="0" w:line="252" w:lineRule="auto"/>
                    <w:rPr>
                      <w:rFonts w:ascii="Arial" w:eastAsia="Times New Roman" w:hAnsi="Arial" w:cs="Arial"/>
                      <w:color w:val="0070C0"/>
                      <w:lang w:val="en-US"/>
                    </w:rPr>
                  </w:pPr>
                  <w:r w:rsidRPr="006B2A5C">
                    <w:rPr>
                      <w:rFonts w:ascii="Arial" w:hAnsi="Arial" w:cs="Arial"/>
                      <w:color w:val="0070C0"/>
                      <w:lang w:val="en-US"/>
                    </w:rPr>
                    <w:t> 0</w:t>
                  </w:r>
                </w:p>
              </w:tc>
            </w:tr>
            <w:tr w:rsidR="006B2A5C" w:rsidRPr="006B2A5C" w14:paraId="308318BB" w14:textId="77777777" w:rsidTr="00C73FEC">
              <w:trPr>
                <w:trHeight w:val="213"/>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9154A"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Podiatrists</w:t>
                  </w:r>
                </w:p>
              </w:tc>
              <w:tc>
                <w:tcPr>
                  <w:tcW w:w="2126" w:type="dxa"/>
                  <w:tcBorders>
                    <w:top w:val="nil"/>
                    <w:left w:val="nil"/>
                    <w:bottom w:val="single" w:sz="8" w:space="0" w:color="auto"/>
                    <w:right w:val="single" w:sz="8" w:space="0" w:color="auto"/>
                  </w:tcBorders>
                  <w:hideMark/>
                </w:tcPr>
                <w:p w14:paraId="30C27EB1" w14:textId="77777777" w:rsidR="006B2A5C" w:rsidRPr="006B2A5C" w:rsidRDefault="006B2A5C" w:rsidP="006B2A5C">
                  <w:pPr>
                    <w:spacing w:after="0" w:line="252" w:lineRule="auto"/>
                    <w:rPr>
                      <w:rFonts w:ascii="Arial" w:eastAsia="Times New Roman" w:hAnsi="Arial" w:cs="Arial"/>
                      <w:color w:val="0070C0"/>
                      <w:lang w:val="en-US"/>
                    </w:rPr>
                  </w:pPr>
                  <w:r w:rsidRPr="006B2A5C">
                    <w:rPr>
                      <w:rFonts w:ascii="Arial" w:hAnsi="Arial" w:cs="Arial"/>
                      <w:color w:val="0070C0"/>
                      <w:lang w:val="en-US"/>
                    </w:rPr>
                    <w:t> 0</w:t>
                  </w:r>
                </w:p>
              </w:tc>
            </w:tr>
            <w:tr w:rsidR="006B2A5C" w:rsidRPr="006B2A5C" w14:paraId="0FD90603" w14:textId="77777777" w:rsidTr="00C73FEC">
              <w:trPr>
                <w:trHeight w:val="202"/>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87BE7"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Clinical Psychologists</w:t>
                  </w:r>
                </w:p>
              </w:tc>
              <w:tc>
                <w:tcPr>
                  <w:tcW w:w="2126" w:type="dxa"/>
                  <w:tcBorders>
                    <w:top w:val="nil"/>
                    <w:left w:val="nil"/>
                    <w:bottom w:val="single" w:sz="8" w:space="0" w:color="auto"/>
                    <w:right w:val="single" w:sz="8" w:space="0" w:color="auto"/>
                  </w:tcBorders>
                  <w:hideMark/>
                </w:tcPr>
                <w:p w14:paraId="4D9608B6" w14:textId="77777777" w:rsidR="006B2A5C" w:rsidRPr="006B2A5C" w:rsidRDefault="006B2A5C" w:rsidP="006B2A5C">
                  <w:pPr>
                    <w:spacing w:after="0" w:line="252" w:lineRule="auto"/>
                    <w:rPr>
                      <w:rFonts w:ascii="Arial" w:eastAsia="Times New Roman" w:hAnsi="Arial" w:cs="Arial"/>
                      <w:color w:val="0070C0"/>
                      <w:lang w:val="en-US"/>
                    </w:rPr>
                  </w:pPr>
                  <w:r w:rsidRPr="006B2A5C">
                    <w:rPr>
                      <w:rFonts w:ascii="Arial" w:hAnsi="Arial" w:cs="Arial"/>
                      <w:color w:val="0070C0"/>
                      <w:lang w:val="en-US"/>
                    </w:rPr>
                    <w:t> 0</w:t>
                  </w:r>
                </w:p>
              </w:tc>
            </w:tr>
            <w:tr w:rsidR="006B2A5C" w:rsidRPr="006B2A5C" w14:paraId="68D0A61C" w14:textId="77777777" w:rsidTr="00C73FEC">
              <w:trPr>
                <w:trHeight w:val="202"/>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8570B"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Theatre Practitioners</w:t>
                  </w:r>
                </w:p>
              </w:tc>
              <w:tc>
                <w:tcPr>
                  <w:tcW w:w="2126" w:type="dxa"/>
                  <w:tcBorders>
                    <w:top w:val="nil"/>
                    <w:left w:val="nil"/>
                    <w:bottom w:val="single" w:sz="8" w:space="0" w:color="auto"/>
                    <w:right w:val="single" w:sz="8" w:space="0" w:color="auto"/>
                  </w:tcBorders>
                  <w:hideMark/>
                </w:tcPr>
                <w:p w14:paraId="07BFEC15" w14:textId="77777777" w:rsidR="006B2A5C" w:rsidRPr="006B2A5C" w:rsidRDefault="006B2A5C" w:rsidP="006B2A5C">
                  <w:pPr>
                    <w:spacing w:after="0" w:line="252" w:lineRule="auto"/>
                    <w:rPr>
                      <w:rFonts w:ascii="Arial" w:eastAsia="Times New Roman" w:hAnsi="Arial" w:cs="Arial"/>
                      <w:color w:val="0070C0"/>
                      <w:lang w:val="en-US"/>
                    </w:rPr>
                  </w:pPr>
                  <w:r w:rsidRPr="006B2A5C">
                    <w:rPr>
                      <w:rFonts w:ascii="Arial" w:eastAsia="Times New Roman" w:hAnsi="Arial" w:cs="Arial"/>
                      <w:color w:val="0070C0"/>
                      <w:lang w:val="en-US"/>
                    </w:rPr>
                    <w:t> 0</w:t>
                  </w:r>
                </w:p>
              </w:tc>
            </w:tr>
          </w:tbl>
          <w:p w14:paraId="0A0284F6" w14:textId="77777777" w:rsidR="006B2A5C" w:rsidRDefault="006B2A5C" w:rsidP="00A634AC">
            <w:pPr>
              <w:spacing w:line="252" w:lineRule="auto"/>
              <w:rPr>
                <w:rFonts w:ascii="Arial" w:eastAsia="Calibri" w:hAnsi="Arial" w:cs="Arial"/>
                <w:color w:val="0070C0"/>
                <w:lang w:val="en-US" w:eastAsia="en-GB"/>
              </w:rPr>
            </w:pPr>
          </w:p>
          <w:tbl>
            <w:tblPr>
              <w:tblW w:w="0" w:type="auto"/>
              <w:tblCellMar>
                <w:left w:w="0" w:type="dxa"/>
                <w:right w:w="0" w:type="dxa"/>
              </w:tblCellMar>
              <w:tblLook w:val="04A0" w:firstRow="1" w:lastRow="0" w:firstColumn="1" w:lastColumn="0" w:noHBand="0" w:noVBand="1"/>
            </w:tblPr>
            <w:tblGrid>
              <w:gridCol w:w="2903"/>
              <w:gridCol w:w="2080"/>
            </w:tblGrid>
            <w:tr w:rsidR="006B2A5C" w:rsidRPr="006B2A5C" w14:paraId="1C8D398F" w14:textId="77777777" w:rsidTr="00C73FEC">
              <w:trPr>
                <w:trHeight w:val="213"/>
              </w:trPr>
              <w:tc>
                <w:tcPr>
                  <w:tcW w:w="3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42DF6F"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b/>
                      <w:bCs/>
                      <w:lang w:eastAsia="en-GB"/>
                    </w:rPr>
                    <w:t>HSS</w:t>
                  </w:r>
                </w:p>
              </w:tc>
              <w:tc>
                <w:tcPr>
                  <w:tcW w:w="2453" w:type="dxa"/>
                  <w:tcBorders>
                    <w:top w:val="single" w:sz="8" w:space="0" w:color="auto"/>
                    <w:left w:val="nil"/>
                    <w:bottom w:val="single" w:sz="8" w:space="0" w:color="auto"/>
                    <w:right w:val="single" w:sz="8" w:space="0" w:color="auto"/>
                  </w:tcBorders>
                  <w:hideMark/>
                </w:tcPr>
                <w:p w14:paraId="37824B3D"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b/>
                      <w:bCs/>
                      <w:lang w:eastAsia="en-GB"/>
                    </w:rPr>
                    <w:t>Spend</w:t>
                  </w:r>
                </w:p>
              </w:tc>
            </w:tr>
            <w:tr w:rsidR="006B2A5C" w:rsidRPr="006B2A5C" w14:paraId="2A51FFDC" w14:textId="77777777" w:rsidTr="00C73FEC">
              <w:trPr>
                <w:trHeight w:val="202"/>
              </w:trPr>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5D79F"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Biomedical Scientists</w:t>
                  </w:r>
                </w:p>
              </w:tc>
              <w:tc>
                <w:tcPr>
                  <w:tcW w:w="2453" w:type="dxa"/>
                  <w:tcBorders>
                    <w:top w:val="nil"/>
                    <w:left w:val="nil"/>
                    <w:bottom w:val="single" w:sz="8" w:space="0" w:color="auto"/>
                    <w:right w:val="single" w:sz="8" w:space="0" w:color="auto"/>
                  </w:tcBorders>
                  <w:hideMark/>
                </w:tcPr>
                <w:p w14:paraId="3C8DE333" w14:textId="77777777" w:rsidR="006B2A5C" w:rsidRPr="006B2A5C" w:rsidRDefault="006B2A5C" w:rsidP="006B2A5C">
                  <w:pPr>
                    <w:spacing w:after="0" w:line="252" w:lineRule="auto"/>
                    <w:rPr>
                      <w:rFonts w:ascii="Arial" w:hAnsi="Arial" w:cs="Arial"/>
                      <w:color w:val="0070C0"/>
                      <w:lang w:val="en-US"/>
                    </w:rPr>
                  </w:pPr>
                  <w:r w:rsidRPr="006B2A5C">
                    <w:rPr>
                      <w:rFonts w:ascii="Arial" w:hAnsi="Arial" w:cs="Arial"/>
                      <w:color w:val="0070C0"/>
                      <w:lang w:val="en-US"/>
                    </w:rPr>
                    <w:t>£26,606.54</w:t>
                  </w:r>
                </w:p>
              </w:tc>
            </w:tr>
            <w:tr w:rsidR="006B2A5C" w:rsidRPr="006B2A5C" w14:paraId="23AE52D3" w14:textId="77777777" w:rsidTr="00C73FEC">
              <w:trPr>
                <w:trHeight w:val="213"/>
              </w:trPr>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156B7"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Mortuary/Pathology Technicians</w:t>
                  </w:r>
                </w:p>
              </w:tc>
              <w:tc>
                <w:tcPr>
                  <w:tcW w:w="2453" w:type="dxa"/>
                  <w:tcBorders>
                    <w:top w:val="nil"/>
                    <w:left w:val="nil"/>
                    <w:bottom w:val="single" w:sz="8" w:space="0" w:color="auto"/>
                    <w:right w:val="single" w:sz="8" w:space="0" w:color="auto"/>
                  </w:tcBorders>
                  <w:hideMark/>
                </w:tcPr>
                <w:p w14:paraId="47F8825F" w14:textId="77777777" w:rsidR="006B2A5C" w:rsidRPr="006B2A5C" w:rsidRDefault="006B2A5C" w:rsidP="006B2A5C">
                  <w:pPr>
                    <w:spacing w:after="0" w:line="252" w:lineRule="auto"/>
                    <w:rPr>
                      <w:rFonts w:ascii="Arial" w:hAnsi="Arial" w:cs="Arial"/>
                      <w:color w:val="0070C0"/>
                      <w:lang w:val="en-US"/>
                    </w:rPr>
                  </w:pPr>
                  <w:r w:rsidRPr="006B2A5C">
                    <w:rPr>
                      <w:rFonts w:ascii="Arial" w:hAnsi="Arial" w:cs="Arial"/>
                      <w:color w:val="0070C0"/>
                      <w:lang w:val="en-US"/>
                    </w:rPr>
                    <w:t>£48,242.63</w:t>
                  </w:r>
                </w:p>
              </w:tc>
            </w:tr>
            <w:tr w:rsidR="006B2A5C" w:rsidRPr="006B2A5C" w14:paraId="165F7434" w14:textId="77777777" w:rsidTr="00C73FEC">
              <w:trPr>
                <w:trHeight w:val="213"/>
              </w:trPr>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C3A19" w14:textId="77777777" w:rsidR="006B2A5C" w:rsidRPr="006B2A5C" w:rsidRDefault="006B2A5C" w:rsidP="006B2A5C">
                  <w:pPr>
                    <w:spacing w:after="0" w:line="231" w:lineRule="atLeast"/>
                    <w:rPr>
                      <w:rFonts w:ascii="Arial" w:eastAsia="Calibri" w:hAnsi="Arial" w:cs="Arial"/>
                      <w:lang w:eastAsia="en-GB"/>
                    </w:rPr>
                  </w:pPr>
                  <w:r w:rsidRPr="006B2A5C">
                    <w:rPr>
                      <w:rFonts w:ascii="Arial" w:eastAsia="Calibri" w:hAnsi="Arial" w:cs="Arial"/>
                      <w:lang w:eastAsia="en-GB"/>
                    </w:rPr>
                    <w:t>Pharmacy Services Staff</w:t>
                  </w:r>
                </w:p>
              </w:tc>
              <w:tc>
                <w:tcPr>
                  <w:tcW w:w="2453" w:type="dxa"/>
                  <w:tcBorders>
                    <w:top w:val="nil"/>
                    <w:left w:val="nil"/>
                    <w:bottom w:val="single" w:sz="8" w:space="0" w:color="auto"/>
                    <w:right w:val="single" w:sz="8" w:space="0" w:color="auto"/>
                  </w:tcBorders>
                  <w:hideMark/>
                </w:tcPr>
                <w:p w14:paraId="773DBBED" w14:textId="77777777" w:rsidR="006B2A5C" w:rsidRPr="006B2A5C" w:rsidRDefault="006B2A5C" w:rsidP="006B2A5C">
                  <w:pPr>
                    <w:spacing w:after="0" w:line="252" w:lineRule="auto"/>
                    <w:rPr>
                      <w:rFonts w:ascii="Arial" w:hAnsi="Arial" w:cs="Arial"/>
                      <w:color w:val="0070C0"/>
                      <w:lang w:val="en-US"/>
                    </w:rPr>
                  </w:pPr>
                  <w:r w:rsidRPr="006B2A5C">
                    <w:rPr>
                      <w:rFonts w:ascii="Arial" w:hAnsi="Arial" w:cs="Arial"/>
                      <w:color w:val="0070C0"/>
                      <w:lang w:val="en-US"/>
                    </w:rPr>
                    <w:t>£200,572.41</w:t>
                  </w:r>
                </w:p>
              </w:tc>
            </w:tr>
            <w:tr w:rsidR="006B2A5C" w:rsidRPr="006B2A5C" w14:paraId="126FD06E" w14:textId="77777777" w:rsidTr="00C73FEC">
              <w:trPr>
                <w:trHeight w:val="213"/>
              </w:trPr>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9A12A" w14:textId="77777777" w:rsidR="006B2A5C" w:rsidRPr="006B2A5C" w:rsidRDefault="006B2A5C" w:rsidP="006B2A5C">
                  <w:pPr>
                    <w:spacing w:after="0" w:line="231" w:lineRule="atLeast"/>
                    <w:rPr>
                      <w:rFonts w:ascii="Arial" w:eastAsia="Calibri" w:hAnsi="Arial" w:cs="Arial"/>
                      <w:lang w:eastAsia="en-GB"/>
                    </w:rPr>
                  </w:pPr>
                  <w:proofErr w:type="spellStart"/>
                  <w:r w:rsidRPr="006B2A5C">
                    <w:rPr>
                      <w:rFonts w:ascii="Arial" w:eastAsia="Calibri" w:hAnsi="Arial" w:cs="Arial"/>
                      <w:lang w:eastAsia="en-GB"/>
                    </w:rPr>
                    <w:t>Othoptists</w:t>
                  </w:r>
                  <w:proofErr w:type="spellEnd"/>
                  <w:r w:rsidRPr="006B2A5C">
                    <w:rPr>
                      <w:rFonts w:ascii="Arial" w:eastAsia="Calibri" w:hAnsi="Arial" w:cs="Arial"/>
                      <w:lang w:eastAsia="en-GB"/>
                    </w:rPr>
                    <w:t xml:space="preserve"> &amp; Optometrists</w:t>
                  </w:r>
                </w:p>
              </w:tc>
              <w:tc>
                <w:tcPr>
                  <w:tcW w:w="2453" w:type="dxa"/>
                  <w:tcBorders>
                    <w:top w:val="nil"/>
                    <w:left w:val="nil"/>
                    <w:bottom w:val="single" w:sz="8" w:space="0" w:color="auto"/>
                    <w:right w:val="single" w:sz="8" w:space="0" w:color="auto"/>
                  </w:tcBorders>
                  <w:hideMark/>
                </w:tcPr>
                <w:p w14:paraId="11A8C3E5" w14:textId="77777777" w:rsidR="006B2A5C" w:rsidRPr="006B2A5C" w:rsidRDefault="006B2A5C" w:rsidP="006B2A5C">
                  <w:pPr>
                    <w:spacing w:after="0" w:line="252" w:lineRule="auto"/>
                    <w:rPr>
                      <w:rFonts w:ascii="Arial" w:hAnsi="Arial" w:cs="Arial"/>
                      <w:color w:val="0070C0"/>
                      <w:lang w:val="en-US"/>
                    </w:rPr>
                  </w:pPr>
                  <w:r w:rsidRPr="006B2A5C">
                    <w:rPr>
                      <w:rFonts w:ascii="Arial" w:hAnsi="Arial" w:cs="Arial"/>
                      <w:color w:val="0070C0"/>
                      <w:lang w:val="en-US"/>
                    </w:rPr>
                    <w:t>0</w:t>
                  </w:r>
                </w:p>
              </w:tc>
            </w:tr>
          </w:tbl>
          <w:p w14:paraId="30A24ACD" w14:textId="11850524" w:rsidR="006B2A5C" w:rsidRPr="006B2A5C" w:rsidRDefault="006B2A5C" w:rsidP="00A634AC">
            <w:pPr>
              <w:spacing w:line="252" w:lineRule="auto"/>
              <w:rPr>
                <w:rFonts w:ascii="Arial" w:eastAsia="Calibri" w:hAnsi="Arial" w:cs="Arial"/>
                <w:color w:val="0070C0"/>
                <w:lang w:val="en-US" w:eastAsia="en-GB"/>
              </w:rPr>
            </w:pPr>
            <w:bookmarkStart w:id="1" w:name="_GoBack"/>
            <w:bookmarkEnd w:id="1"/>
          </w:p>
        </w:tc>
      </w:tr>
      <w:bookmarkEnd w:id="0"/>
    </w:tbl>
    <w:p w14:paraId="50EFD53A"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D845" w14:textId="77777777" w:rsidR="0033551A" w:rsidRDefault="0033551A" w:rsidP="0033551A">
      <w:pPr>
        <w:spacing w:after="0" w:line="240" w:lineRule="auto"/>
      </w:pPr>
      <w:r>
        <w:separator/>
      </w:r>
    </w:p>
  </w:endnote>
  <w:endnote w:type="continuationSeparator" w:id="0">
    <w:p w14:paraId="6D67F92A" w14:textId="77777777"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8331B"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3F727" w14:textId="77777777" w:rsidR="0033551A" w:rsidRDefault="0033551A" w:rsidP="0033551A">
      <w:pPr>
        <w:spacing w:after="0" w:line="240" w:lineRule="auto"/>
      </w:pPr>
      <w:r>
        <w:separator/>
      </w:r>
    </w:p>
  </w:footnote>
  <w:footnote w:type="continuationSeparator" w:id="0">
    <w:p w14:paraId="517CD76A" w14:textId="77777777"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E5FC9"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380F7AAA" wp14:editId="44E19BDB">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7"/>
  </w:num>
  <w:num w:numId="17">
    <w:abstractNumId w:val="24"/>
  </w:num>
  <w:num w:numId="18">
    <w:abstractNumId w:val="1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1"/>
  </w:num>
  <w:num w:numId="30">
    <w:abstractNumId w:val="20"/>
  </w:num>
  <w:num w:numId="31">
    <w:abstractNumId w:val="1"/>
  </w:num>
  <w:num w:numId="32">
    <w:abstractNumId w:val="23"/>
  </w:num>
  <w:num w:numId="33">
    <w:abstractNumId w:val="11"/>
  </w:num>
  <w:num w:numId="34">
    <w:abstractNumId w:val="13"/>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33E01"/>
    <w:rsid w:val="0004245E"/>
    <w:rsid w:val="000A66CF"/>
    <w:rsid w:val="000B1EBE"/>
    <w:rsid w:val="000B2D4C"/>
    <w:rsid w:val="00156725"/>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B2A5C"/>
    <w:rsid w:val="006C4C0C"/>
    <w:rsid w:val="006D4711"/>
    <w:rsid w:val="006E4DEA"/>
    <w:rsid w:val="006F0A05"/>
    <w:rsid w:val="00711ACC"/>
    <w:rsid w:val="00793223"/>
    <w:rsid w:val="007E5D80"/>
    <w:rsid w:val="007E7A45"/>
    <w:rsid w:val="0081124D"/>
    <w:rsid w:val="00875881"/>
    <w:rsid w:val="00877D9C"/>
    <w:rsid w:val="00880170"/>
    <w:rsid w:val="00885903"/>
    <w:rsid w:val="0092478A"/>
    <w:rsid w:val="00937110"/>
    <w:rsid w:val="0094299E"/>
    <w:rsid w:val="009529EC"/>
    <w:rsid w:val="00955CEC"/>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D51ED"/>
    <w:rsid w:val="00BD711E"/>
    <w:rsid w:val="00BE2769"/>
    <w:rsid w:val="00C41C65"/>
    <w:rsid w:val="00C830A2"/>
    <w:rsid w:val="00C855A7"/>
    <w:rsid w:val="00C97915"/>
    <w:rsid w:val="00CA1233"/>
    <w:rsid w:val="00CA3F7A"/>
    <w:rsid w:val="00CD7F59"/>
    <w:rsid w:val="00CF2C29"/>
    <w:rsid w:val="00D87C3B"/>
    <w:rsid w:val="00DC04F2"/>
    <w:rsid w:val="00DC4DDB"/>
    <w:rsid w:val="00E153BA"/>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0CA6C13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4165444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04869543">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94569440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21008886">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02114467">
      <w:bodyDiv w:val="1"/>
      <w:marLeft w:val="0"/>
      <w:marRight w:val="0"/>
      <w:marTop w:val="0"/>
      <w:marBottom w:val="0"/>
      <w:divBdr>
        <w:top w:val="none" w:sz="0" w:space="0" w:color="auto"/>
        <w:left w:val="none" w:sz="0" w:space="0" w:color="auto"/>
        <w:bottom w:val="none" w:sz="0" w:space="0" w:color="auto"/>
        <w:right w:val="none" w:sz="0" w:space="0" w:color="auto"/>
      </w:divBdr>
    </w:div>
    <w:div w:id="1812474549">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1386316">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5480-46AF-4C9E-A912-5C84E45D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2022-05-30T10:28:00Z</dcterms:created>
  <dcterms:modified xsi:type="dcterms:W3CDTF">2022-05-30T10:28:00Z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-228833169</vt:i4>
  </property>
  <property fmtid="{D5CDD505-2E9C-101B-9397-08002B2CF9AE}" pid="3" name="_NewReviewCycle">
    <vt:lpwstr/>
  </property>
  <property fmtid="{D5CDD505-2E9C-101B-9397-08002B2CF9AE}" pid="4" name="_EmailSubject">
    <vt:lpwstr>6401 FOI - Locum Agencies</vt:lpwstr>
  </property>
  <property fmtid="{D5CDD505-2E9C-101B-9397-08002B2CF9AE}" pid="5" name="_AuthorEmail">
    <vt:lpwstr>andrew.sharpe@NHSProfessionals.nhs.uk</vt:lpwstr>
  </property>
  <property fmtid="{D5CDD505-2E9C-101B-9397-08002B2CF9AE}" pid="6" name="_AuthorEmailDisplayName">
    <vt:lpwstr>Andrew Sharpe</vt:lpwstr>
  </property>
  <property fmtid="{D5CDD505-2E9C-101B-9397-08002B2CF9AE}" pid="7" name="_ReviewingToolsShownOnce">
    <vt:lpwstr/>
  </property>
</Properties>
</file>