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1F8" w:rsidRPr="00573914" w:rsidRDefault="005A01F8" w:rsidP="0033551A">
      <w:pPr>
        <w:spacing w:after="0" w:line="240" w:lineRule="auto"/>
        <w:ind w:right="7041"/>
        <w:rPr>
          <w:rFonts w:ascii="Arial" w:hAnsi="Arial" w:cs="Arial"/>
          <w:sz w:val="24"/>
          <w:szCs w:val="24"/>
        </w:rPr>
      </w:pPr>
    </w:p>
    <w:p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6485</w:t>
          </w:r>
        </w:sdtContent>
      </w:sdt>
    </w:p>
    <w:p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Staff - Agency Spend  Staff - Contracts/HR</w:t>
          </w:r>
        </w:sdtContent>
      </w:sdt>
    </w:p>
    <w:p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Infrastructure Support (Non-Clinical)</w:t>
          </w:r>
        </w:sdtContent>
      </w:sdt>
    </w:p>
    <w:p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08/07/2022</w:t>
          </w:r>
        </w:sdtContent>
      </w:sdt>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8046"/>
        <w:gridCol w:w="7455"/>
      </w:tblGrid>
      <w:tr w:rsidR="00D87C3B" w:rsidRPr="00D87C3B" w:rsidTr="006E30A7">
        <w:trPr>
          <w:trHeight w:val="516"/>
        </w:trPr>
        <w:tc>
          <w:tcPr>
            <w:tcW w:w="8046"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7455"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bookmarkEnd w:id="0"/>
      <w:tr w:rsidR="006E30A7" w:rsidRPr="006E30A7" w:rsidTr="006E30A7">
        <w:trPr>
          <w:trHeight w:val="258"/>
        </w:trPr>
        <w:tc>
          <w:tcPr>
            <w:tcW w:w="15501" w:type="dxa"/>
            <w:gridSpan w:val="2"/>
            <w:tcBorders>
              <w:top w:val="single" w:sz="4" w:space="0" w:color="auto"/>
              <w:left w:val="single" w:sz="4" w:space="0" w:color="auto"/>
              <w:bottom w:val="single" w:sz="4" w:space="0" w:color="auto"/>
              <w:right w:val="single" w:sz="4" w:space="0" w:color="auto"/>
            </w:tcBorders>
          </w:tcPr>
          <w:p w:rsidR="006E30A7" w:rsidRPr="006E30A7" w:rsidRDefault="006E30A7" w:rsidP="006E30A7">
            <w:pPr>
              <w:pStyle w:val="NormalWeb"/>
              <w:spacing w:before="0" w:beforeAutospacing="0" w:after="0" w:afterAutospacing="0" w:line="270" w:lineRule="atLeast"/>
              <w:rPr>
                <w:rFonts w:ascii="Arial" w:hAnsi="Arial" w:cs="Arial"/>
                <w:sz w:val="22"/>
                <w:szCs w:val="22"/>
              </w:rPr>
            </w:pPr>
            <w:r w:rsidRPr="006E30A7">
              <w:rPr>
                <w:rFonts w:ascii="Arial" w:hAnsi="Arial" w:cs="Arial"/>
                <w:sz w:val="22"/>
                <w:szCs w:val="22"/>
              </w:rPr>
              <w:t>I am writing to you under the Freedom of Information Act 2000 to request the following information from your Trust. Please may you provide me with the following data, segmented into the categories listed in the table below:</w:t>
            </w:r>
          </w:p>
          <w:p w:rsidR="006E30A7" w:rsidRPr="006E30A7" w:rsidRDefault="006E30A7" w:rsidP="006E30A7">
            <w:pPr>
              <w:pStyle w:val="NormalWeb"/>
              <w:spacing w:before="0" w:beforeAutospacing="0" w:after="0" w:afterAutospacing="0" w:line="270" w:lineRule="atLeast"/>
              <w:rPr>
                <w:rFonts w:ascii="Arial" w:hAnsi="Arial" w:cs="Arial"/>
                <w:sz w:val="22"/>
                <w:szCs w:val="22"/>
              </w:rPr>
            </w:pPr>
            <w:r w:rsidRPr="006E30A7">
              <w:rPr>
                <w:rFonts w:ascii="Arial" w:hAnsi="Arial" w:cs="Arial"/>
                <w:sz w:val="22"/>
                <w:szCs w:val="22"/>
              </w:rPr>
              <w:t> </w:t>
            </w:r>
          </w:p>
          <w:p w:rsidR="006E30A7" w:rsidRPr="006E30A7" w:rsidRDefault="006E30A7" w:rsidP="006E30A7">
            <w:pPr>
              <w:numPr>
                <w:ilvl w:val="0"/>
                <w:numId w:val="13"/>
              </w:numPr>
              <w:spacing w:line="270" w:lineRule="atLeast"/>
              <w:rPr>
                <w:rFonts w:ascii="Arial" w:hAnsi="Arial" w:cs="Arial"/>
              </w:rPr>
            </w:pPr>
            <w:r w:rsidRPr="006E30A7">
              <w:rPr>
                <w:rFonts w:ascii="Arial" w:hAnsi="Arial" w:cs="Arial"/>
              </w:rPr>
              <w:t xml:space="preserve">The number of infrastructure support (non-clinical) contract/interim roles you recruited via an agency (agency defined as recruitment or executive search firm) in FY 2020/21 (12m to March 2021) and FY 2019/20 (12m to March 2020) </w:t>
            </w:r>
          </w:p>
          <w:p w:rsidR="006E30A7" w:rsidRPr="006E30A7" w:rsidRDefault="006E30A7" w:rsidP="006E30A7">
            <w:pPr>
              <w:numPr>
                <w:ilvl w:val="0"/>
                <w:numId w:val="13"/>
              </w:numPr>
              <w:spacing w:line="270" w:lineRule="atLeast"/>
              <w:rPr>
                <w:rFonts w:ascii="Arial" w:hAnsi="Arial" w:cs="Arial"/>
              </w:rPr>
            </w:pPr>
            <w:r w:rsidRPr="006E30A7">
              <w:rPr>
                <w:rFonts w:ascii="Arial" w:hAnsi="Arial" w:cs="Arial"/>
              </w:rPr>
              <w:t xml:space="preserve">The number of infrastructure support (non-clinical) contract/interim roles in FY 2020/21 (12m to March 2021) and FY 2019/20 (12m to March 2020) that were above Band 7 </w:t>
            </w:r>
          </w:p>
          <w:p w:rsidR="006E30A7" w:rsidRPr="006E30A7" w:rsidRDefault="006E30A7" w:rsidP="006E30A7">
            <w:pPr>
              <w:numPr>
                <w:ilvl w:val="0"/>
                <w:numId w:val="13"/>
              </w:numPr>
              <w:spacing w:line="270" w:lineRule="atLeast"/>
              <w:rPr>
                <w:rFonts w:ascii="Arial" w:hAnsi="Arial" w:cs="Arial"/>
              </w:rPr>
            </w:pPr>
            <w:r w:rsidRPr="006E30A7">
              <w:rPr>
                <w:rFonts w:ascii="Arial" w:hAnsi="Arial" w:cs="Arial"/>
              </w:rPr>
              <w:t>The average contract length for infrastructure support (non-clinical) contractors/interims</w:t>
            </w:r>
          </w:p>
          <w:p w:rsidR="006E30A7" w:rsidRPr="006E30A7" w:rsidRDefault="006E30A7" w:rsidP="006E30A7">
            <w:pPr>
              <w:numPr>
                <w:ilvl w:val="0"/>
                <w:numId w:val="13"/>
              </w:numPr>
              <w:spacing w:line="270" w:lineRule="atLeast"/>
              <w:rPr>
                <w:rFonts w:ascii="Arial" w:hAnsi="Arial" w:cs="Arial"/>
              </w:rPr>
            </w:pPr>
            <w:r w:rsidRPr="006E30A7">
              <w:rPr>
                <w:rFonts w:ascii="Arial" w:hAnsi="Arial" w:cs="Arial"/>
              </w:rPr>
              <w:t xml:space="preserve">The average Day Rate Charge for infrastructure support (non-clinical) contractors/interims Band 7 and above </w:t>
            </w:r>
          </w:p>
          <w:p w:rsidR="006E30A7" w:rsidRPr="006E30A7" w:rsidRDefault="006E30A7" w:rsidP="006E30A7">
            <w:pPr>
              <w:numPr>
                <w:ilvl w:val="0"/>
                <w:numId w:val="13"/>
              </w:numPr>
              <w:spacing w:line="270" w:lineRule="atLeast"/>
              <w:rPr>
                <w:rFonts w:ascii="Arial" w:hAnsi="Arial" w:cs="Arial"/>
              </w:rPr>
            </w:pPr>
            <w:r w:rsidRPr="006E30A7">
              <w:rPr>
                <w:rFonts w:ascii="Arial" w:hAnsi="Arial" w:cs="Arial"/>
              </w:rPr>
              <w:t>The number of infrastructure support (non-clinical) permanent/substantive roles you recruited via an agency (agency defined as recruitment or executive search firm) in FY 2020/21 (12m to March 2021) and FY 2019/20 (12m to March 2020)</w:t>
            </w:r>
          </w:p>
          <w:p w:rsidR="006E30A7" w:rsidRPr="006E30A7" w:rsidRDefault="006E30A7" w:rsidP="006E30A7">
            <w:pPr>
              <w:numPr>
                <w:ilvl w:val="0"/>
                <w:numId w:val="13"/>
              </w:numPr>
              <w:spacing w:line="270" w:lineRule="atLeast"/>
              <w:rPr>
                <w:rFonts w:ascii="Arial" w:hAnsi="Arial" w:cs="Arial"/>
              </w:rPr>
            </w:pPr>
            <w:r w:rsidRPr="006E30A7">
              <w:rPr>
                <w:rFonts w:ascii="Arial" w:hAnsi="Arial" w:cs="Arial"/>
              </w:rPr>
              <w:t>The number of infrastructure support (non-clinical) permanent/substantive roles in FY 2020/21 (12m to March 2021) and FY 2019/20 (12m to March 2020) that were above Band 7</w:t>
            </w:r>
          </w:p>
          <w:p w:rsidR="006E30A7" w:rsidRPr="006E30A7" w:rsidRDefault="006E30A7" w:rsidP="006E30A7">
            <w:pPr>
              <w:pStyle w:val="NormalWeb"/>
              <w:spacing w:before="0" w:beforeAutospacing="0" w:after="0" w:afterAutospacing="0" w:line="270" w:lineRule="atLeast"/>
              <w:rPr>
                <w:rFonts w:ascii="Arial" w:eastAsiaTheme="minorHAnsi" w:hAnsi="Arial" w:cs="Arial"/>
                <w:sz w:val="22"/>
                <w:szCs w:val="22"/>
              </w:rPr>
            </w:pPr>
            <w:r w:rsidRPr="006E30A7">
              <w:rPr>
                <w:rFonts w:ascii="Arial" w:hAnsi="Arial" w:cs="Arial"/>
                <w:sz w:val="22"/>
                <w:szCs w:val="22"/>
              </w:rPr>
              <w:t> </w:t>
            </w:r>
          </w:p>
          <w:p w:rsidR="006E30A7" w:rsidRPr="006E30A7" w:rsidRDefault="006E30A7" w:rsidP="006E30A7">
            <w:pPr>
              <w:pStyle w:val="NormalWeb"/>
              <w:spacing w:before="0" w:beforeAutospacing="0" w:after="0" w:afterAutospacing="0" w:line="270" w:lineRule="atLeast"/>
              <w:rPr>
                <w:rFonts w:ascii="Arial" w:hAnsi="Arial" w:cs="Arial"/>
                <w:sz w:val="22"/>
                <w:szCs w:val="22"/>
              </w:rPr>
            </w:pPr>
            <w:r w:rsidRPr="006E30A7">
              <w:rPr>
                <w:rFonts w:ascii="Arial" w:hAnsi="Arial" w:cs="Arial"/>
                <w:sz w:val="22"/>
                <w:szCs w:val="22"/>
              </w:rPr>
              <w:t>Please provide the information in the form of an Excel or CSV file, or directly into the table below.</w:t>
            </w:r>
          </w:p>
          <w:p w:rsidR="006E30A7" w:rsidRPr="006E30A7" w:rsidRDefault="006E30A7" w:rsidP="00316529">
            <w:pPr>
              <w:spacing w:line="252" w:lineRule="auto"/>
              <w:rPr>
                <w:rFonts w:ascii="Arial" w:eastAsia="Calibri" w:hAnsi="Arial" w:cs="Arial"/>
                <w:color w:val="0070C0"/>
                <w:lang w:val="en-US" w:eastAsia="en-GB"/>
              </w:rPr>
            </w:pPr>
          </w:p>
        </w:tc>
      </w:tr>
      <w:tr w:rsidR="006E30A7" w:rsidRPr="006E30A7" w:rsidTr="006E30A7">
        <w:trPr>
          <w:trHeight w:val="258"/>
        </w:trPr>
        <w:tc>
          <w:tcPr>
            <w:tcW w:w="15501"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
              <w:tblOverlap w:val="never"/>
              <w:tblW w:w="15241" w:type="dxa"/>
              <w:tblCellMar>
                <w:left w:w="0" w:type="dxa"/>
                <w:right w:w="0" w:type="dxa"/>
              </w:tblCellMar>
              <w:tblLook w:val="04A0" w:firstRow="1" w:lastRow="0" w:firstColumn="1" w:lastColumn="0" w:noHBand="0" w:noVBand="1"/>
            </w:tblPr>
            <w:tblGrid>
              <w:gridCol w:w="2827"/>
              <w:gridCol w:w="1013"/>
              <w:gridCol w:w="931"/>
              <w:gridCol w:w="1012"/>
              <w:gridCol w:w="932"/>
              <w:gridCol w:w="1012"/>
              <w:gridCol w:w="1045"/>
              <w:gridCol w:w="1012"/>
              <w:gridCol w:w="964"/>
              <w:gridCol w:w="1012"/>
              <w:gridCol w:w="1118"/>
              <w:gridCol w:w="1012"/>
              <w:gridCol w:w="1351"/>
            </w:tblGrid>
            <w:tr w:rsidR="006E30A7" w:rsidRPr="006E30A7" w:rsidTr="006E30A7">
              <w:trPr>
                <w:trHeight w:val="597"/>
              </w:trPr>
              <w:tc>
                <w:tcPr>
                  <w:tcW w:w="2827" w:type="dxa"/>
                  <w:tcBorders>
                    <w:top w:val="single" w:sz="8" w:space="0" w:color="auto"/>
                    <w:left w:val="single" w:sz="8" w:space="0" w:color="auto"/>
                    <w:bottom w:val="single" w:sz="8" w:space="0" w:color="auto"/>
                    <w:right w:val="single" w:sz="8" w:space="0" w:color="auto"/>
                  </w:tcBorders>
                  <w:shd w:val="clear" w:color="auto" w:fill="70AD47"/>
                  <w:noWrap/>
                  <w:tcMar>
                    <w:top w:w="0" w:type="dxa"/>
                    <w:left w:w="108" w:type="dxa"/>
                    <w:bottom w:w="0" w:type="dxa"/>
                    <w:right w:w="108" w:type="dxa"/>
                  </w:tcMar>
                  <w:vAlign w:val="center"/>
                  <w:hideMark/>
                </w:tcPr>
                <w:p w:rsidR="006E30A7" w:rsidRPr="006E30A7" w:rsidRDefault="006E30A7" w:rsidP="006E30A7">
                  <w:pPr>
                    <w:rPr>
                      <w:rFonts w:ascii="Arial" w:hAnsi="Arial" w:cs="Arial"/>
                    </w:rPr>
                  </w:pPr>
                  <w:r w:rsidRPr="006E30A7">
                    <w:rPr>
                      <w:rFonts w:ascii="Arial" w:hAnsi="Arial" w:cs="Arial"/>
                      <w:b/>
                      <w:bCs/>
                      <w:color w:val="000000"/>
                    </w:rPr>
                    <w:t>Infrastructure Support (non-clinical) Categories</w:t>
                  </w:r>
                </w:p>
              </w:tc>
              <w:tc>
                <w:tcPr>
                  <w:tcW w:w="1944" w:type="dxa"/>
                  <w:gridSpan w:val="2"/>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Total interims from agencies</w:t>
                  </w:r>
                </w:p>
              </w:tc>
              <w:tc>
                <w:tcPr>
                  <w:tcW w:w="1944" w:type="dxa"/>
                  <w:gridSpan w:val="2"/>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Band 7+ interims from agencies</w:t>
                  </w:r>
                </w:p>
              </w:tc>
              <w:tc>
                <w:tcPr>
                  <w:tcW w:w="2057" w:type="dxa"/>
                  <w:gridSpan w:val="2"/>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Avg. contract length for agency interims</w:t>
                  </w:r>
                </w:p>
              </w:tc>
              <w:tc>
                <w:tcPr>
                  <w:tcW w:w="1976" w:type="dxa"/>
                  <w:gridSpan w:val="2"/>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Avg. day rate for agency interims</w:t>
                  </w:r>
                </w:p>
              </w:tc>
              <w:tc>
                <w:tcPr>
                  <w:tcW w:w="2130" w:type="dxa"/>
                  <w:gridSpan w:val="2"/>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Total Permanent roles placed through agencies</w:t>
                  </w:r>
                </w:p>
              </w:tc>
              <w:tc>
                <w:tcPr>
                  <w:tcW w:w="2363" w:type="dxa"/>
                  <w:gridSpan w:val="2"/>
                  <w:tcBorders>
                    <w:top w:val="single" w:sz="8" w:space="0" w:color="auto"/>
                    <w:left w:val="nil"/>
                    <w:bottom w:val="single" w:sz="8" w:space="0" w:color="auto"/>
                    <w:right w:val="single" w:sz="8" w:space="0" w:color="auto"/>
                  </w:tcBorders>
                  <w:shd w:val="clear" w:color="auto" w:fill="70AD47"/>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Band 7+ Permanent roles placed through agencies</w:t>
                  </w:r>
                </w:p>
              </w:tc>
            </w:tr>
            <w:tr w:rsidR="006E30A7"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6E30A7" w:rsidRPr="006E30A7" w:rsidRDefault="006E30A7" w:rsidP="006E30A7">
                  <w:pPr>
                    <w:rPr>
                      <w:rFonts w:ascii="Arial" w:hAnsi="Arial" w:cs="Arial"/>
                    </w:rPr>
                  </w:pPr>
                  <w:r w:rsidRPr="006E30A7">
                    <w:rPr>
                      <w:rFonts w:ascii="Arial" w:hAnsi="Arial" w:cs="Arial"/>
                      <w:b/>
                      <w:bCs/>
                      <w:color w:val="000000"/>
                    </w:rPr>
                    <w:t> </w:t>
                  </w:r>
                </w:p>
              </w:tc>
              <w:tc>
                <w:tcPr>
                  <w:tcW w:w="101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2019/20</w:t>
                  </w:r>
                </w:p>
              </w:tc>
              <w:tc>
                <w:tcPr>
                  <w:tcW w:w="931" w:type="dxa"/>
                  <w:tcBorders>
                    <w:top w:val="nil"/>
                    <w:left w:val="nil"/>
                    <w:bottom w:val="single" w:sz="8" w:space="0" w:color="auto"/>
                    <w:right w:val="single" w:sz="8" w:space="0" w:color="auto"/>
                  </w:tcBorders>
                  <w:shd w:val="clear" w:color="auto" w:fill="D9D9D9"/>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2020/21</w:t>
                  </w:r>
                </w:p>
              </w:tc>
              <w:tc>
                <w:tcPr>
                  <w:tcW w:w="101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2019/20</w:t>
                  </w:r>
                </w:p>
              </w:tc>
              <w:tc>
                <w:tcPr>
                  <w:tcW w:w="932" w:type="dxa"/>
                  <w:tcBorders>
                    <w:top w:val="nil"/>
                    <w:left w:val="nil"/>
                    <w:bottom w:val="single" w:sz="8" w:space="0" w:color="auto"/>
                    <w:right w:val="single" w:sz="8" w:space="0" w:color="auto"/>
                  </w:tcBorders>
                  <w:shd w:val="clear" w:color="auto" w:fill="D9D9D9"/>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2020/21</w:t>
                  </w:r>
                </w:p>
              </w:tc>
              <w:tc>
                <w:tcPr>
                  <w:tcW w:w="101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2019/20</w:t>
                  </w:r>
                </w:p>
              </w:tc>
              <w:tc>
                <w:tcPr>
                  <w:tcW w:w="1045" w:type="dxa"/>
                  <w:tcBorders>
                    <w:top w:val="nil"/>
                    <w:left w:val="nil"/>
                    <w:bottom w:val="single" w:sz="8" w:space="0" w:color="auto"/>
                    <w:right w:val="single" w:sz="8" w:space="0" w:color="auto"/>
                  </w:tcBorders>
                  <w:shd w:val="clear" w:color="auto" w:fill="D9D9D9"/>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2020/21</w:t>
                  </w:r>
                </w:p>
              </w:tc>
              <w:tc>
                <w:tcPr>
                  <w:tcW w:w="101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2019/20</w:t>
                  </w:r>
                </w:p>
              </w:tc>
              <w:tc>
                <w:tcPr>
                  <w:tcW w:w="964" w:type="dxa"/>
                  <w:tcBorders>
                    <w:top w:val="nil"/>
                    <w:left w:val="nil"/>
                    <w:bottom w:val="single" w:sz="8" w:space="0" w:color="auto"/>
                    <w:right w:val="single" w:sz="8" w:space="0" w:color="auto"/>
                  </w:tcBorders>
                  <w:shd w:val="clear" w:color="auto" w:fill="D9D9D9"/>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2020/21</w:t>
                  </w:r>
                </w:p>
              </w:tc>
              <w:tc>
                <w:tcPr>
                  <w:tcW w:w="101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2019/20</w:t>
                  </w:r>
                </w:p>
              </w:tc>
              <w:tc>
                <w:tcPr>
                  <w:tcW w:w="1118" w:type="dxa"/>
                  <w:tcBorders>
                    <w:top w:val="nil"/>
                    <w:left w:val="nil"/>
                    <w:bottom w:val="single" w:sz="8" w:space="0" w:color="auto"/>
                    <w:right w:val="single" w:sz="8" w:space="0" w:color="auto"/>
                  </w:tcBorders>
                  <w:shd w:val="clear" w:color="auto" w:fill="D9D9D9"/>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2020/21</w:t>
                  </w:r>
                </w:p>
              </w:tc>
              <w:tc>
                <w:tcPr>
                  <w:tcW w:w="1012"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2019/20</w:t>
                  </w:r>
                </w:p>
              </w:tc>
              <w:tc>
                <w:tcPr>
                  <w:tcW w:w="1351" w:type="dxa"/>
                  <w:tcBorders>
                    <w:top w:val="nil"/>
                    <w:left w:val="nil"/>
                    <w:bottom w:val="single" w:sz="8" w:space="0" w:color="auto"/>
                    <w:right w:val="single" w:sz="8" w:space="0" w:color="auto"/>
                  </w:tcBorders>
                  <w:shd w:val="clear" w:color="auto" w:fill="D9D9D9"/>
                  <w:vAlign w:val="center"/>
                  <w:hideMark/>
                </w:tcPr>
                <w:p w:rsidR="006E30A7" w:rsidRPr="006E30A7" w:rsidRDefault="006E30A7" w:rsidP="006E30A7">
                  <w:pPr>
                    <w:jc w:val="center"/>
                    <w:rPr>
                      <w:rFonts w:ascii="Arial" w:hAnsi="Arial" w:cs="Arial"/>
                    </w:rPr>
                  </w:pPr>
                  <w:r w:rsidRPr="006E30A7">
                    <w:rPr>
                      <w:rFonts w:ascii="Arial" w:hAnsi="Arial" w:cs="Arial"/>
                      <w:b/>
                      <w:bCs/>
                      <w:color w:val="000000"/>
                    </w:rPr>
                    <w:t>2020/21</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t>IT</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t>HR</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bookmarkStart w:id="1" w:name="_GoBack"/>
                  <w:bookmarkEnd w:id="1"/>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t>General Admin</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t>Estates</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lastRenderedPageBreak/>
                    <w:t>Finance &amp; Procurement</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t>Corporate Affairs (</w:t>
                  </w:r>
                  <w:proofErr w:type="spellStart"/>
                  <w:r w:rsidRPr="006E30A7">
                    <w:rPr>
                      <w:rFonts w:ascii="Arial" w:hAnsi="Arial" w:cs="Arial"/>
                      <w:b/>
                      <w:bCs/>
                      <w:color w:val="000000"/>
                    </w:rPr>
                    <w:t>inc.</w:t>
                  </w:r>
                  <w:proofErr w:type="spellEnd"/>
                  <w:r w:rsidRPr="006E30A7">
                    <w:rPr>
                      <w:rFonts w:ascii="Arial" w:hAnsi="Arial" w:cs="Arial"/>
                      <w:b/>
                      <w:bCs/>
                      <w:color w:val="000000"/>
                    </w:rPr>
                    <w:t xml:space="preserve"> Ops &amp; PMO)</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t>Senior Management</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E2EFD9"/>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t>Other</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r w:rsidR="00B42C72" w:rsidRPr="006E30A7" w:rsidTr="006E30A7">
              <w:trPr>
                <w:trHeight w:val="199"/>
              </w:trPr>
              <w:tc>
                <w:tcPr>
                  <w:tcW w:w="2827" w:type="dxa"/>
                  <w:tcBorders>
                    <w:top w:val="nil"/>
                    <w:left w:val="single" w:sz="8" w:space="0" w:color="auto"/>
                    <w:bottom w:val="single" w:sz="8" w:space="0" w:color="auto"/>
                    <w:right w:val="single" w:sz="8" w:space="0" w:color="auto"/>
                  </w:tcBorders>
                  <w:shd w:val="clear" w:color="auto" w:fill="A8D08D"/>
                  <w:noWrap/>
                  <w:tcMar>
                    <w:top w:w="0" w:type="dxa"/>
                    <w:left w:w="108" w:type="dxa"/>
                    <w:bottom w:w="0" w:type="dxa"/>
                    <w:right w:w="108" w:type="dxa"/>
                  </w:tcMar>
                  <w:vAlign w:val="bottom"/>
                  <w:hideMark/>
                </w:tcPr>
                <w:p w:rsidR="00B42C72" w:rsidRPr="006E30A7" w:rsidRDefault="00B42C72" w:rsidP="00B42C72">
                  <w:pPr>
                    <w:rPr>
                      <w:rFonts w:ascii="Arial" w:hAnsi="Arial" w:cs="Arial"/>
                    </w:rPr>
                  </w:pPr>
                  <w:r w:rsidRPr="006E30A7">
                    <w:rPr>
                      <w:rFonts w:ascii="Arial" w:hAnsi="Arial" w:cs="Arial"/>
                      <w:b/>
                      <w:bCs/>
                      <w:color w:val="000000"/>
                    </w:rPr>
                    <w:t>Total</w:t>
                  </w:r>
                </w:p>
              </w:tc>
              <w:tc>
                <w:tcPr>
                  <w:tcW w:w="10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32"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045"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964"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118"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c>
                <w:tcPr>
                  <w:tcW w:w="10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42C72" w:rsidRPr="006E30A7" w:rsidRDefault="00B42C72" w:rsidP="00873EA0">
                  <w:pPr>
                    <w:jc w:val="center"/>
                    <w:rPr>
                      <w:rFonts w:ascii="Arial" w:hAnsi="Arial" w:cs="Arial"/>
                    </w:rPr>
                  </w:pPr>
                  <w:r>
                    <w:rPr>
                      <w:rFonts w:ascii="Arial" w:hAnsi="Arial" w:cs="Arial"/>
                    </w:rPr>
                    <w:t>0</w:t>
                  </w:r>
                </w:p>
              </w:tc>
              <w:tc>
                <w:tcPr>
                  <w:tcW w:w="1351" w:type="dxa"/>
                  <w:tcBorders>
                    <w:top w:val="nil"/>
                    <w:left w:val="nil"/>
                    <w:bottom w:val="single" w:sz="8" w:space="0" w:color="auto"/>
                    <w:right w:val="single" w:sz="8" w:space="0" w:color="auto"/>
                  </w:tcBorders>
                  <w:vAlign w:val="center"/>
                  <w:hideMark/>
                </w:tcPr>
                <w:p w:rsidR="00B42C72" w:rsidRPr="006E30A7" w:rsidRDefault="00B42C72" w:rsidP="00873EA0">
                  <w:pPr>
                    <w:jc w:val="center"/>
                    <w:rPr>
                      <w:rFonts w:ascii="Arial" w:hAnsi="Arial" w:cs="Arial"/>
                    </w:rPr>
                  </w:pPr>
                  <w:r>
                    <w:rPr>
                      <w:rFonts w:ascii="Arial" w:hAnsi="Arial" w:cs="Arial"/>
                    </w:rPr>
                    <w:t>0</w:t>
                  </w:r>
                </w:p>
              </w:tc>
            </w:tr>
          </w:tbl>
          <w:p w:rsidR="006E30A7" w:rsidRPr="006E30A7" w:rsidRDefault="006E30A7" w:rsidP="00316529">
            <w:pPr>
              <w:spacing w:line="252" w:lineRule="auto"/>
              <w:rPr>
                <w:rFonts w:ascii="Arial" w:eastAsia="Calibri" w:hAnsi="Arial" w:cs="Arial"/>
                <w:color w:val="0070C0"/>
                <w:lang w:val="en-US" w:eastAsia="en-GB"/>
              </w:rPr>
            </w:pPr>
          </w:p>
        </w:tc>
      </w:tr>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6E30A7">
      <w:headerReference w:type="first" r:id="rId10"/>
      <w:footerReference w:type="first" r:id="rId11"/>
      <w:pgSz w:w="16838" w:h="11906" w:orient="landscape"/>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DC2" w:rsidRDefault="00561DC2" w:rsidP="0033551A">
      <w:pPr>
        <w:spacing w:after="0" w:line="240" w:lineRule="auto"/>
      </w:pPr>
      <w:r>
        <w:separator/>
      </w:r>
    </w:p>
  </w:endnote>
  <w:endnote w:type="continuationSeparator" w:id="0">
    <w:p w:rsidR="00561DC2" w:rsidRDefault="00561DC2"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DC2" w:rsidRDefault="00561DC2" w:rsidP="0033551A">
      <w:pPr>
        <w:spacing w:after="0" w:line="240" w:lineRule="auto"/>
      </w:pPr>
      <w:r>
        <w:separator/>
      </w:r>
    </w:p>
  </w:footnote>
  <w:footnote w:type="continuationSeparator" w:id="0">
    <w:p w:rsidR="00561DC2" w:rsidRDefault="00561DC2"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7F366A92">
          <wp:simplePos x="0" y="0"/>
          <wp:positionH relativeFrom="column">
            <wp:posOffset>8181975</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BB7D33"/>
    <w:multiLevelType w:val="multilevel"/>
    <w:tmpl w:val="A120D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61DC2"/>
    <w:rsid w:val="00573914"/>
    <w:rsid w:val="0059095F"/>
    <w:rsid w:val="005A01F8"/>
    <w:rsid w:val="005A3B76"/>
    <w:rsid w:val="005A71C1"/>
    <w:rsid w:val="005B3F1E"/>
    <w:rsid w:val="005D64C5"/>
    <w:rsid w:val="00616438"/>
    <w:rsid w:val="0064633A"/>
    <w:rsid w:val="00686130"/>
    <w:rsid w:val="006974B9"/>
    <w:rsid w:val="006C4C0C"/>
    <w:rsid w:val="006E30A7"/>
    <w:rsid w:val="006E4DEA"/>
    <w:rsid w:val="00711ACC"/>
    <w:rsid w:val="00750F6B"/>
    <w:rsid w:val="007B66E0"/>
    <w:rsid w:val="008479CD"/>
    <w:rsid w:val="00873EA0"/>
    <w:rsid w:val="00877D9C"/>
    <w:rsid w:val="00880170"/>
    <w:rsid w:val="0092478A"/>
    <w:rsid w:val="00937110"/>
    <w:rsid w:val="0094299E"/>
    <w:rsid w:val="009529EC"/>
    <w:rsid w:val="00957B65"/>
    <w:rsid w:val="009679C7"/>
    <w:rsid w:val="0098225B"/>
    <w:rsid w:val="009D4EB5"/>
    <w:rsid w:val="00A5218A"/>
    <w:rsid w:val="00AB100E"/>
    <w:rsid w:val="00B21EE9"/>
    <w:rsid w:val="00B42C72"/>
    <w:rsid w:val="00B46636"/>
    <w:rsid w:val="00BF3B8F"/>
    <w:rsid w:val="00C41C65"/>
    <w:rsid w:val="00C62302"/>
    <w:rsid w:val="00C830A2"/>
    <w:rsid w:val="00CA1233"/>
    <w:rsid w:val="00CF2C29"/>
    <w:rsid w:val="00D070D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0593546">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B91B72"/>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E933-A734-492C-A81C-B2A45FC38EA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ef61cbaa-81e4-4b6e-bc74-2184563ef513"/>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2022-07-12T09:30:00Z</dcterms:created>
  <dcterms:modified xsi:type="dcterms:W3CDTF">2022-07-12T09:30:00Z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