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FB813" w14:textId="77777777" w:rsidR="00817B9E" w:rsidRDefault="00817B9E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</w:p>
    <w:p w14:paraId="5831AE02" w14:textId="47DE2149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6506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Car Parking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Car Parking</w:t>
          </w:r>
        </w:sdtContent>
      </w:sdt>
    </w:p>
    <w:p w14:paraId="52066EE0" w14:textId="1229F93C" w:rsidR="00D87C3B" w:rsidRDefault="00D87C3B" w:rsidP="00817B9E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19/07/2022</w:t>
          </w:r>
        </w:sdtContent>
      </w:sdt>
    </w:p>
    <w:p w14:paraId="6F4B2FA3" w14:textId="77777777" w:rsidR="00817B9E" w:rsidRPr="00817B9E" w:rsidRDefault="00817B9E" w:rsidP="00817B9E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8011"/>
        <w:gridCol w:w="7490"/>
      </w:tblGrid>
      <w:tr w:rsidR="00D87C3B" w:rsidRPr="00D87C3B" w14:paraId="6BA3BD65" w14:textId="77777777" w:rsidTr="00817B9E">
        <w:trPr>
          <w:trHeight w:val="51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817B9E">
        <w:trPr>
          <w:trHeight w:val="2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E27" w14:textId="080499BA" w:rsidR="007D7BF4" w:rsidRPr="007D7BF4" w:rsidRDefault="007D7BF4" w:rsidP="007D7BF4">
            <w:pPr>
              <w:pStyle w:val="PlainText"/>
              <w:rPr>
                <w:rFonts w:ascii="Arial" w:hAnsi="Arial" w:cs="Arial"/>
              </w:rPr>
            </w:pPr>
            <w:r w:rsidRPr="007D7BF4">
              <w:rPr>
                <w:rFonts w:ascii="Arial" w:hAnsi="Arial" w:cs="Arial"/>
              </w:rPr>
              <w:t>Do you provide free parking for NHS staff and/or patients?</w:t>
            </w:r>
          </w:p>
          <w:p w14:paraId="03A5BEB6" w14:textId="77777777" w:rsidR="00316529" w:rsidRPr="0013271A" w:rsidRDefault="00316529" w:rsidP="007D7BF4">
            <w:pPr>
              <w:pStyle w:val="PlainText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4C6ADB22" w:rsidR="00316529" w:rsidRDefault="00AB1F4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Free parking is offered to staff and visitors that fit the Government criteria</w:t>
            </w:r>
          </w:p>
        </w:tc>
      </w:tr>
      <w:tr w:rsidR="00316529" w:rsidRPr="00D87C3B" w14:paraId="7A8EBBD7" w14:textId="77777777" w:rsidTr="00817B9E">
        <w:trPr>
          <w:trHeight w:val="2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01C" w14:textId="77777777" w:rsidR="007D7BF4" w:rsidRPr="007D7BF4" w:rsidRDefault="007D7BF4" w:rsidP="007D7BF4">
            <w:pPr>
              <w:pStyle w:val="PlainText"/>
              <w:rPr>
                <w:rFonts w:ascii="Arial" w:hAnsi="Arial" w:cs="Arial"/>
              </w:rPr>
            </w:pPr>
            <w:r w:rsidRPr="007D7BF4">
              <w:rPr>
                <w:rFonts w:ascii="Arial" w:hAnsi="Arial" w:cs="Arial"/>
              </w:rPr>
              <w:t>If not, how much do you charge staff to park?</w:t>
            </w:r>
          </w:p>
          <w:p w14:paraId="63436546" w14:textId="77777777" w:rsidR="00316529" w:rsidRPr="0013271A" w:rsidRDefault="00316529" w:rsidP="0064633A">
            <w:pPr>
              <w:pStyle w:val="Default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7"/>
              <w:gridCol w:w="1378"/>
              <w:gridCol w:w="1306"/>
              <w:gridCol w:w="1239"/>
              <w:gridCol w:w="1104"/>
            </w:tblGrid>
            <w:tr w:rsidR="00AB1F40" w:rsidRPr="00AC100C" w14:paraId="08BBA1CF" w14:textId="77777777" w:rsidTr="00817B9E">
              <w:trPr>
                <w:trHeight w:val="597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515CB3C7" w14:textId="77777777" w:rsidR="00AB1F40" w:rsidRPr="00817B9E" w:rsidRDefault="00AB1F40" w:rsidP="00817B9E">
                  <w:pPr>
                    <w:spacing w:after="0"/>
                    <w:rPr>
                      <w:rFonts w:ascii="Arial" w:eastAsia="Calibri" w:hAnsi="Arial" w:cs="Arial"/>
                      <w:b/>
                    </w:rPr>
                  </w:pPr>
                  <w:r w:rsidRPr="00817B9E">
                    <w:rPr>
                      <w:rFonts w:ascii="Arial" w:eastAsia="Calibri" w:hAnsi="Arial" w:cs="Arial"/>
                      <w:b/>
                    </w:rPr>
                    <w:t>Grade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6C69B886" w14:textId="77777777" w:rsidR="00AB1F40" w:rsidRPr="00817B9E" w:rsidRDefault="00AB1F40" w:rsidP="00817B9E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817B9E">
                    <w:rPr>
                      <w:rFonts w:ascii="Arial" w:eastAsia="Calibri" w:hAnsi="Arial" w:cs="Arial"/>
                      <w:b/>
                    </w:rPr>
                    <w:t>Contracted Hours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14:paraId="2ED8E7B7" w14:textId="77777777" w:rsidR="00AB1F40" w:rsidRPr="00817B9E" w:rsidRDefault="00AB1F40" w:rsidP="00817B9E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817B9E">
                    <w:rPr>
                      <w:rFonts w:ascii="Arial" w:eastAsia="Calibri" w:hAnsi="Arial" w:cs="Arial"/>
                      <w:b/>
                    </w:rPr>
                    <w:t>Rate</w:t>
                  </w:r>
                  <w:r w:rsidRPr="00817B9E">
                    <w:rPr>
                      <w:rFonts w:ascii="Arial" w:eastAsia="Calibri" w:hAnsi="Arial" w:cs="Arial"/>
                      <w:b/>
                    </w:rPr>
                    <w:br/>
                    <w:t>(</w:t>
                  </w:r>
                  <w:proofErr w:type="spellStart"/>
                  <w:r w:rsidRPr="00817B9E">
                    <w:rPr>
                      <w:rFonts w:ascii="Arial" w:eastAsia="Calibri" w:hAnsi="Arial" w:cs="Arial"/>
                      <w:b/>
                    </w:rPr>
                    <w:t>wef</w:t>
                  </w:r>
                  <w:proofErr w:type="spellEnd"/>
                  <w:r w:rsidRPr="00817B9E">
                    <w:rPr>
                      <w:rFonts w:ascii="Arial" w:eastAsia="Calibri" w:hAnsi="Arial" w:cs="Arial"/>
                      <w:b/>
                    </w:rPr>
                    <w:t xml:space="preserve"> 1 Jul 20)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14:paraId="523E14D9" w14:textId="77777777" w:rsidR="00AB1F40" w:rsidRPr="00817B9E" w:rsidRDefault="00AB1F40" w:rsidP="00817B9E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817B9E">
                    <w:rPr>
                      <w:rFonts w:ascii="Arial" w:eastAsia="Calibri" w:hAnsi="Arial" w:cs="Arial"/>
                      <w:b/>
                    </w:rPr>
                    <w:t>Car share rate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2B2999B" w14:textId="77777777" w:rsidR="00AB1F40" w:rsidRPr="00817B9E" w:rsidRDefault="00AB1F40" w:rsidP="00817B9E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817B9E">
                    <w:rPr>
                      <w:rFonts w:ascii="Arial" w:eastAsia="Calibri" w:hAnsi="Arial" w:cs="Arial"/>
                      <w:b/>
                    </w:rPr>
                    <w:t>Value</w:t>
                  </w:r>
                  <w:r w:rsidRPr="00817B9E">
                    <w:rPr>
                      <w:rFonts w:ascii="Arial" w:eastAsia="Calibri" w:hAnsi="Arial" w:cs="Arial"/>
                      <w:b/>
                    </w:rPr>
                    <w:br/>
                    <w:t>Per day</w:t>
                  </w:r>
                </w:p>
              </w:tc>
            </w:tr>
            <w:tr w:rsidR="00AB1F40" w:rsidRPr="00AC100C" w14:paraId="66EEB19A" w14:textId="77777777" w:rsidTr="00817B9E">
              <w:trPr>
                <w:trHeight w:val="29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213B3527" w14:textId="77777777" w:rsidR="00AB1F40" w:rsidRPr="00817B9E" w:rsidRDefault="00AB1F40" w:rsidP="00817B9E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817B9E">
                    <w:rPr>
                      <w:rFonts w:ascii="Arial" w:eastAsia="Calibri" w:hAnsi="Arial" w:cs="Arial"/>
                    </w:rPr>
                    <w:t>Apprentices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7772E06C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Free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14:paraId="0D18857A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Free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14:paraId="00C53EB7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n/a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14:paraId="2A039819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n/a</w:t>
                  </w:r>
                </w:p>
              </w:tc>
            </w:tr>
            <w:tr w:rsidR="00AB1F40" w:rsidRPr="00AC100C" w14:paraId="523E8154" w14:textId="77777777" w:rsidTr="00817B9E">
              <w:trPr>
                <w:trHeight w:val="61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6E2040F7" w14:textId="77777777" w:rsidR="00AB1F40" w:rsidRPr="00817B9E" w:rsidRDefault="00AB1F40" w:rsidP="00817B9E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817B9E">
                    <w:rPr>
                      <w:rFonts w:ascii="Arial" w:eastAsia="Calibri" w:hAnsi="Arial" w:cs="Arial"/>
                    </w:rPr>
                    <w:t>Bands 1-4</w:t>
                  </w:r>
                  <w:r w:rsidRPr="00817B9E">
                    <w:rPr>
                      <w:rFonts w:ascii="Arial" w:eastAsia="Calibri" w:hAnsi="Arial" w:cs="Arial"/>
                    </w:rPr>
                    <w:br/>
                    <w:t>(Salary £23,761 &amp; below)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666927FC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18.76 to 37.5≥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14:paraId="6B2FC9E2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£11.36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14:paraId="2360CD0D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£6.81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53A73F91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£0.60</w:t>
                  </w:r>
                </w:p>
              </w:tc>
            </w:tr>
            <w:tr w:rsidR="00AB1F40" w:rsidRPr="00AC100C" w14:paraId="383A485F" w14:textId="77777777" w:rsidTr="00817B9E">
              <w:trPr>
                <w:trHeight w:val="29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42F463AF" w14:textId="77777777" w:rsidR="00AB1F40" w:rsidRPr="00817B9E" w:rsidRDefault="00AB1F40" w:rsidP="00817B9E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817B9E">
                    <w:rPr>
                      <w:rFonts w:ascii="Arial" w:eastAsia="Calibri" w:hAnsi="Arial" w:cs="Arial"/>
                    </w:rPr>
                    <w:t>Bands 1-4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34A10731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≤18.75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14:paraId="209DBBBE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£5.67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14:paraId="5E3832CD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£3.40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2D01C6F4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n/a</w:t>
                  </w:r>
                </w:p>
              </w:tc>
            </w:tr>
            <w:tr w:rsidR="00AB1F40" w:rsidRPr="00AC100C" w14:paraId="2EE33B0D" w14:textId="77777777" w:rsidTr="00817B9E">
              <w:trPr>
                <w:trHeight w:val="29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2EF73429" w14:textId="77777777" w:rsidR="00AB1F40" w:rsidRPr="00817B9E" w:rsidRDefault="00AB1F40" w:rsidP="00817B9E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817B9E">
                    <w:rPr>
                      <w:rFonts w:ascii="Arial" w:eastAsia="Calibri" w:hAnsi="Arial" w:cs="Arial"/>
                    </w:rPr>
                    <w:t>Bands 1-4 Split site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5C98E5F4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 to 37.5≥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14:paraId="70BAB268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£5.67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14:paraId="455B27C8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n/a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551201FD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n/a</w:t>
                  </w:r>
                </w:p>
              </w:tc>
            </w:tr>
            <w:tr w:rsidR="00AB1F40" w:rsidRPr="00AC100C" w14:paraId="0FD0B137" w14:textId="77777777" w:rsidTr="00817B9E">
              <w:trPr>
                <w:trHeight w:val="597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5E5D2A07" w14:textId="77777777" w:rsidR="00AB1F40" w:rsidRPr="00817B9E" w:rsidRDefault="00AB1F40" w:rsidP="00817B9E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817B9E">
                    <w:rPr>
                      <w:rFonts w:ascii="Arial" w:eastAsia="Calibri" w:hAnsi="Arial" w:cs="Arial"/>
                    </w:rPr>
                    <w:t>Bands 5-8a</w:t>
                  </w:r>
                  <w:r w:rsidRPr="00817B9E">
                    <w:rPr>
                      <w:rFonts w:ascii="Arial" w:eastAsia="Calibri" w:hAnsi="Arial" w:cs="Arial"/>
                    </w:rPr>
                    <w:br/>
                    <w:t>(Salary £23,762 to £50,819)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3722333F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18.76 to 37.5≥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14:paraId="3614D686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£22.73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14:paraId="587695F7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£13.63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586402EA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£1.20</w:t>
                  </w:r>
                </w:p>
              </w:tc>
            </w:tr>
            <w:tr w:rsidR="00AB1F40" w:rsidRPr="00AC100C" w14:paraId="22404AED" w14:textId="77777777" w:rsidTr="00817B9E">
              <w:trPr>
                <w:trHeight w:val="29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542B352A" w14:textId="77777777" w:rsidR="00AB1F40" w:rsidRPr="00817B9E" w:rsidRDefault="00AB1F40" w:rsidP="00817B9E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817B9E">
                    <w:rPr>
                      <w:rFonts w:ascii="Arial" w:eastAsia="Calibri" w:hAnsi="Arial" w:cs="Arial"/>
                    </w:rPr>
                    <w:t>Bands 5-8a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18A37037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≤18.75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14:paraId="5114AD4B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£11.36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14:paraId="214902BF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£6.81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08FB0D77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n/a</w:t>
                  </w:r>
                </w:p>
              </w:tc>
            </w:tr>
            <w:tr w:rsidR="00AB1F40" w:rsidRPr="00AC100C" w14:paraId="3B8395A9" w14:textId="77777777" w:rsidTr="00817B9E">
              <w:trPr>
                <w:trHeight w:val="597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17871E85" w14:textId="77777777" w:rsidR="00AB1F40" w:rsidRPr="00817B9E" w:rsidRDefault="00AB1F40" w:rsidP="00817B9E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817B9E">
                    <w:rPr>
                      <w:rFonts w:ascii="Arial" w:eastAsia="Calibri" w:hAnsi="Arial" w:cs="Arial"/>
                    </w:rPr>
                    <w:t>Bands 5-8a Split site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35AAA58A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 to 37.5≥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14:paraId="6E9D7513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£11.36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14:paraId="29A140DB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n/a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2A41DB37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n/a</w:t>
                  </w:r>
                </w:p>
              </w:tc>
            </w:tr>
            <w:tr w:rsidR="00AB1F40" w:rsidRPr="00AC100C" w14:paraId="5CC30F62" w14:textId="77777777" w:rsidTr="00817B9E">
              <w:trPr>
                <w:trHeight w:val="61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42115594" w14:textId="77777777" w:rsidR="00AB1F40" w:rsidRPr="00817B9E" w:rsidRDefault="00AB1F40" w:rsidP="00817B9E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817B9E">
                    <w:rPr>
                      <w:rFonts w:ascii="Arial" w:eastAsia="Calibri" w:hAnsi="Arial" w:cs="Arial"/>
                    </w:rPr>
                    <w:t>Bands 8b and above</w:t>
                  </w:r>
                  <w:r w:rsidRPr="00817B9E">
                    <w:rPr>
                      <w:rFonts w:ascii="Arial" w:eastAsia="Calibri" w:hAnsi="Arial" w:cs="Arial"/>
                    </w:rPr>
                    <w:br/>
                    <w:t>(Salary £50,820 &amp; above)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2E0CD8CC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18.76 to 37.5≥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14:paraId="3DE5CF45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£34.08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14:paraId="344D56A5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£20.45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1601C3D9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£1.80</w:t>
                  </w:r>
                </w:p>
              </w:tc>
            </w:tr>
            <w:tr w:rsidR="00AB1F40" w:rsidRPr="00AC100C" w14:paraId="1A6F771E" w14:textId="77777777" w:rsidTr="00817B9E">
              <w:trPr>
                <w:trHeight w:val="29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4231FB3E" w14:textId="77777777" w:rsidR="00AB1F40" w:rsidRPr="00817B9E" w:rsidRDefault="00AB1F40" w:rsidP="00817B9E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817B9E">
                    <w:rPr>
                      <w:rFonts w:ascii="Arial" w:eastAsia="Calibri" w:hAnsi="Arial" w:cs="Arial"/>
                    </w:rPr>
                    <w:t>Bands 8b and above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12804ECC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≤18.75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14:paraId="5F5B9058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£17.04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14:paraId="56BD6E90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£10.22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C47680C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n/a</w:t>
                  </w:r>
                </w:p>
              </w:tc>
            </w:tr>
            <w:tr w:rsidR="00AB1F40" w:rsidRPr="00AC100C" w14:paraId="65628D9B" w14:textId="77777777" w:rsidTr="00817B9E">
              <w:trPr>
                <w:trHeight w:val="597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41397CCF" w14:textId="77777777" w:rsidR="00AB1F40" w:rsidRPr="00817B9E" w:rsidRDefault="00AB1F40" w:rsidP="00817B9E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817B9E">
                    <w:rPr>
                      <w:rFonts w:ascii="Arial" w:eastAsia="Calibri" w:hAnsi="Arial" w:cs="Arial"/>
                    </w:rPr>
                    <w:t>Bands 8b and above</w:t>
                  </w:r>
                  <w:r w:rsidRPr="00817B9E">
                    <w:rPr>
                      <w:rFonts w:ascii="Arial" w:eastAsia="Calibri" w:hAnsi="Arial" w:cs="Arial"/>
                    </w:rPr>
                    <w:br/>
                    <w:t>Split site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5575F2E8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0 to 37.5≥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14:paraId="28F482BA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£17.04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14:paraId="4747E83F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n/a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2CA58816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n/a</w:t>
                  </w:r>
                </w:p>
              </w:tc>
            </w:tr>
            <w:tr w:rsidR="00AB1F40" w:rsidRPr="00AC100C" w14:paraId="201AB196" w14:textId="77777777" w:rsidTr="00817B9E">
              <w:trPr>
                <w:trHeight w:val="298"/>
              </w:trPr>
              <w:tc>
                <w:tcPr>
                  <w:tcW w:w="2237" w:type="dxa"/>
                  <w:shd w:val="clear" w:color="auto" w:fill="auto"/>
                  <w:vAlign w:val="center"/>
                </w:tcPr>
                <w:p w14:paraId="10DF5671" w14:textId="77777777" w:rsidR="00AB1F40" w:rsidRPr="00817B9E" w:rsidRDefault="00AB1F40" w:rsidP="00817B9E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817B9E">
                    <w:rPr>
                      <w:rFonts w:ascii="Arial" w:eastAsia="Calibri" w:hAnsi="Arial" w:cs="Arial"/>
                    </w:rPr>
                    <w:t>Preferential space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14:paraId="6303EC70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n/a</w:t>
                  </w:r>
                </w:p>
              </w:tc>
              <w:tc>
                <w:tcPr>
                  <w:tcW w:w="1306" w:type="dxa"/>
                  <w:shd w:val="clear" w:color="auto" w:fill="auto"/>
                  <w:vAlign w:val="center"/>
                </w:tcPr>
                <w:p w14:paraId="28927827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£45.46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14:paraId="1618467D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£27.28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C54E67A" w14:textId="77777777" w:rsidR="00AB1F40" w:rsidRPr="00817B9E" w:rsidRDefault="00AB1F40" w:rsidP="00817B9E">
                  <w:pPr>
                    <w:spacing w:after="0" w:line="252" w:lineRule="auto"/>
                    <w:jc w:val="center"/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</w:pPr>
                  <w:r w:rsidRPr="00817B9E">
                    <w:rPr>
                      <w:rFonts w:ascii="Arial" w:eastAsia="Calibri" w:hAnsi="Arial" w:cs="Arial"/>
                      <w:color w:val="0070C0"/>
                      <w:lang w:val="en-US" w:eastAsia="en-GB"/>
                    </w:rPr>
                    <w:t>n/a</w:t>
                  </w:r>
                </w:p>
              </w:tc>
            </w:tr>
          </w:tbl>
          <w:p w14:paraId="1EFB6E98" w14:textId="77777777" w:rsidR="00B34EB0" w:rsidRDefault="00B34EB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3C28BC3" w14:textId="7978810B" w:rsidR="00AB1F40" w:rsidRDefault="00B34EB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above figures are monthly rates except where otherwise stated.</w:t>
            </w:r>
          </w:p>
          <w:p w14:paraId="2B9126EA" w14:textId="6C3AB870" w:rsidR="00B34EB0" w:rsidRDefault="00B34EB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462DA7B1" w14:textId="77777777" w:rsidTr="00817B9E">
        <w:trPr>
          <w:trHeight w:val="2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F8BF" w14:textId="77777777" w:rsidR="007D7BF4" w:rsidRDefault="007D7BF4" w:rsidP="007D7B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</w:t>
            </w:r>
            <w:r w:rsidRPr="007D7BF4">
              <w:rPr>
                <w:rFonts w:ascii="Arial" w:hAnsi="Arial" w:cs="Arial"/>
              </w:rPr>
              <w:t>ow long does it take for staff to be issued a permit when joining your trust?</w:t>
            </w:r>
          </w:p>
          <w:p w14:paraId="50C92955" w14:textId="6ED31935" w:rsidR="00817B9E" w:rsidRPr="007D7BF4" w:rsidRDefault="00817B9E" w:rsidP="007D7B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0633072F" w:rsidR="00316529" w:rsidRDefault="00AB1F4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 day for general access, can take 3-6 months for preferred parking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817B9E">
      <w:headerReference w:type="first" r:id="rId10"/>
      <w:footerReference w:type="first" r:id="rId11"/>
      <w:pgSz w:w="16838" w:h="11906" w:orient="landscape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698823B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0FA19B72">
          <wp:simplePos x="0" y="0"/>
          <wp:positionH relativeFrom="column">
            <wp:posOffset>8191500</wp:posOffset>
          </wp:positionH>
          <wp:positionV relativeFrom="paragraph">
            <wp:posOffset>-108585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7D7BF4"/>
    <w:rsid w:val="00817B9E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AB1F40"/>
    <w:rsid w:val="00B21EE9"/>
    <w:rsid w:val="00B34EB0"/>
    <w:rsid w:val="00B46636"/>
    <w:rsid w:val="00BF3B8F"/>
    <w:rsid w:val="00C41C65"/>
    <w:rsid w:val="00C62302"/>
    <w:rsid w:val="00C830A2"/>
    <w:rsid w:val="00C85437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elements/1.1/"/>
    <ds:schemaRef ds:uri="ef61cbaa-81e4-4b6e-bc74-2184563ef51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2022-07-20T07:12:00Z</dcterms:created>
  <dcterms:modified xsi:type="dcterms:W3CDTF">2022-07-20T07:32:00Z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